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ECC66" w14:textId="77777777" w:rsidR="00292268" w:rsidRDefault="00292268">
      <w:pPr>
        <w:rPr>
          <w:sz w:val="52"/>
          <w:szCs w:val="52"/>
        </w:rPr>
      </w:pPr>
    </w:p>
    <w:p w14:paraId="41843E5F" w14:textId="77777777" w:rsidR="00292268" w:rsidRDefault="00292268">
      <w:pPr>
        <w:rPr>
          <w:b/>
          <w:i/>
          <w:sz w:val="52"/>
          <w:szCs w:val="52"/>
        </w:rPr>
      </w:pPr>
    </w:p>
    <w:p w14:paraId="095989C6" w14:textId="77777777" w:rsidR="00292268" w:rsidRDefault="00292268">
      <w:pPr>
        <w:spacing w:line="240" w:lineRule="auto"/>
        <w:jc w:val="center"/>
        <w:rPr>
          <w:b/>
          <w:i/>
          <w:sz w:val="52"/>
          <w:szCs w:val="52"/>
        </w:rPr>
      </w:pPr>
    </w:p>
    <w:p w14:paraId="4B071A71" w14:textId="77777777" w:rsidR="00292268" w:rsidRDefault="00E23837">
      <w:pPr>
        <w:spacing w:line="240" w:lineRule="auto"/>
        <w:jc w:val="center"/>
        <w:rPr>
          <w:b/>
          <w:sz w:val="52"/>
          <w:szCs w:val="52"/>
        </w:rPr>
      </w:pPr>
      <w:r>
        <w:rPr>
          <w:b/>
          <w:i/>
          <w:sz w:val="52"/>
          <w:szCs w:val="52"/>
        </w:rPr>
        <w:t xml:space="preserve">Buffalo Human Rights Law Review </w:t>
      </w:r>
    </w:p>
    <w:p w14:paraId="6A8E2CA7" w14:textId="77777777" w:rsidR="00292268" w:rsidRDefault="00E23837">
      <w:pPr>
        <w:spacing w:line="240" w:lineRule="auto"/>
        <w:jc w:val="center"/>
        <w:rPr>
          <w:b/>
          <w:sz w:val="52"/>
          <w:szCs w:val="52"/>
        </w:rPr>
      </w:pPr>
      <w:r>
        <w:rPr>
          <w:b/>
          <w:sz w:val="52"/>
          <w:szCs w:val="52"/>
        </w:rPr>
        <w:t>Associate Application</w:t>
      </w:r>
    </w:p>
    <w:p w14:paraId="6B53E712" w14:textId="77777777" w:rsidR="00292268" w:rsidRDefault="00292268">
      <w:pPr>
        <w:spacing w:line="240" w:lineRule="auto"/>
        <w:jc w:val="center"/>
        <w:rPr>
          <w:sz w:val="52"/>
          <w:szCs w:val="52"/>
        </w:rPr>
      </w:pPr>
      <w:bookmarkStart w:id="0" w:name="_heading=h.gjdgxs" w:colFirst="0" w:colLast="0"/>
      <w:bookmarkEnd w:id="0"/>
    </w:p>
    <w:p w14:paraId="0CD486AB" w14:textId="77777777" w:rsidR="00292268" w:rsidRDefault="00E23837">
      <w:pPr>
        <w:jc w:val="center"/>
        <w:rPr>
          <w:sz w:val="40"/>
          <w:szCs w:val="40"/>
        </w:rPr>
      </w:pPr>
      <w:r>
        <w:rPr>
          <w:sz w:val="40"/>
          <w:szCs w:val="40"/>
        </w:rPr>
        <w:t>May 2022</w:t>
      </w:r>
    </w:p>
    <w:p w14:paraId="503EFB9A" w14:textId="77777777" w:rsidR="00292268" w:rsidRDefault="00E23837">
      <w:pPr>
        <w:jc w:val="center"/>
        <w:rPr>
          <w:sz w:val="40"/>
          <w:szCs w:val="40"/>
        </w:rPr>
        <w:sectPr w:rsidR="00292268">
          <w:footerReference w:type="even" r:id="rId8"/>
          <w:footerReference w:type="default" r:id="rId9"/>
          <w:pgSz w:w="12240" w:h="15840"/>
          <w:pgMar w:top="1440" w:right="1440" w:bottom="1440" w:left="1440" w:header="720" w:footer="720" w:gutter="0"/>
          <w:pgNumType w:start="1"/>
          <w:cols w:space="720"/>
          <w:titlePg/>
        </w:sectPr>
      </w:pPr>
      <w:r>
        <w:rPr>
          <w:noProof/>
        </w:rPr>
        <w:drawing>
          <wp:inline distT="0" distB="0" distL="0" distR="0" wp14:anchorId="41BBBCA2" wp14:editId="5A40596F">
            <wp:extent cx="3012301" cy="3012301"/>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012301" cy="3012301"/>
                    </a:xfrm>
                    <a:prstGeom prst="rect">
                      <a:avLst/>
                    </a:prstGeom>
                    <a:ln/>
                  </pic:spPr>
                </pic:pic>
              </a:graphicData>
            </a:graphic>
          </wp:inline>
        </w:drawing>
      </w:r>
    </w:p>
    <w:p w14:paraId="1B47269A" w14:textId="77777777" w:rsidR="00292268" w:rsidRDefault="00E23837">
      <w:pPr>
        <w:pBdr>
          <w:top w:val="nil"/>
          <w:left w:val="nil"/>
          <w:bottom w:val="nil"/>
          <w:right w:val="nil"/>
          <w:between w:val="nil"/>
        </w:pBdr>
        <w:spacing w:line="240" w:lineRule="auto"/>
        <w:rPr>
          <w:b/>
          <w:color w:val="000000"/>
        </w:rPr>
      </w:pPr>
      <w:r>
        <w:rPr>
          <w:color w:val="000000"/>
        </w:rPr>
        <w:lastRenderedPageBreak/>
        <w:t xml:space="preserve">To apply for an associate position on the </w:t>
      </w:r>
      <w:r>
        <w:rPr>
          <w:i/>
          <w:color w:val="000000"/>
        </w:rPr>
        <w:t>Buffalo Human Rights Law Review</w:t>
      </w:r>
      <w:r>
        <w:rPr>
          <w:color w:val="000000"/>
        </w:rPr>
        <w:t xml:space="preserve"> for the 202</w:t>
      </w:r>
      <w:r>
        <w:t>2</w:t>
      </w:r>
      <w:r>
        <w:rPr>
          <w:color w:val="000000"/>
        </w:rPr>
        <w:t>-202</w:t>
      </w:r>
      <w:r>
        <w:t>3</w:t>
      </w:r>
      <w:r>
        <w:rPr>
          <w:color w:val="000000"/>
        </w:rPr>
        <w:t xml:space="preserve"> academic year, please submit the following documents in Word or PDF format to </w:t>
      </w:r>
      <w:hyperlink r:id="rId11">
        <w:r>
          <w:rPr>
            <w:color w:val="1155CC"/>
            <w:u w:val="single"/>
          </w:rPr>
          <w:t>scottcov@buffalo.edu</w:t>
        </w:r>
      </w:hyperlink>
      <w:r>
        <w:t xml:space="preserve"> </w:t>
      </w:r>
      <w:r>
        <w:rPr>
          <w:b/>
          <w:color w:val="000000"/>
        </w:rPr>
        <w:t xml:space="preserve">by 5:00 pm on </w:t>
      </w:r>
      <w:r>
        <w:rPr>
          <w:b/>
        </w:rPr>
        <w:t>June 1, 2022</w:t>
      </w:r>
      <w:r>
        <w:rPr>
          <w:b/>
          <w:color w:val="000000"/>
        </w:rPr>
        <w:t>:</w:t>
      </w:r>
    </w:p>
    <w:p w14:paraId="13A0ABC1" w14:textId="77777777" w:rsidR="00292268" w:rsidRDefault="00292268">
      <w:pPr>
        <w:pBdr>
          <w:top w:val="nil"/>
          <w:left w:val="nil"/>
          <w:bottom w:val="nil"/>
          <w:right w:val="nil"/>
          <w:between w:val="nil"/>
        </w:pBdr>
        <w:spacing w:line="240" w:lineRule="auto"/>
        <w:rPr>
          <w:color w:val="000000"/>
        </w:rPr>
      </w:pPr>
    </w:p>
    <w:p w14:paraId="15E9BB5F" w14:textId="77777777" w:rsidR="00292268" w:rsidRDefault="00E23837">
      <w:pPr>
        <w:numPr>
          <w:ilvl w:val="0"/>
          <w:numId w:val="3"/>
        </w:numPr>
        <w:pBdr>
          <w:top w:val="nil"/>
          <w:left w:val="nil"/>
          <w:bottom w:val="nil"/>
          <w:right w:val="nil"/>
          <w:between w:val="nil"/>
        </w:pBdr>
        <w:spacing w:line="240" w:lineRule="auto"/>
      </w:pPr>
      <w:r>
        <w:rPr>
          <w:b/>
          <w:color w:val="000000"/>
        </w:rPr>
        <w:t>Cover Sheet</w:t>
      </w:r>
    </w:p>
    <w:p w14:paraId="42C5DE17" w14:textId="77777777" w:rsidR="00292268" w:rsidRDefault="00292268">
      <w:pPr>
        <w:pBdr>
          <w:top w:val="nil"/>
          <w:left w:val="nil"/>
          <w:bottom w:val="nil"/>
          <w:right w:val="nil"/>
          <w:between w:val="nil"/>
        </w:pBdr>
        <w:spacing w:line="240" w:lineRule="auto"/>
        <w:ind w:left="720"/>
        <w:rPr>
          <w:color w:val="000000"/>
        </w:rPr>
      </w:pPr>
    </w:p>
    <w:p w14:paraId="3BE5E322" w14:textId="77777777" w:rsidR="00292268" w:rsidRDefault="00E23837">
      <w:pPr>
        <w:numPr>
          <w:ilvl w:val="0"/>
          <w:numId w:val="3"/>
        </w:numPr>
        <w:pBdr>
          <w:top w:val="nil"/>
          <w:left w:val="nil"/>
          <w:bottom w:val="nil"/>
          <w:right w:val="nil"/>
          <w:between w:val="nil"/>
        </w:pBdr>
        <w:spacing w:line="240" w:lineRule="auto"/>
        <w:rPr>
          <w:b/>
          <w:color w:val="000000"/>
        </w:rPr>
      </w:pPr>
      <w:r>
        <w:rPr>
          <w:b/>
          <w:color w:val="000000"/>
        </w:rPr>
        <w:t xml:space="preserve">Cover Letter or Statement of Interest </w:t>
      </w:r>
    </w:p>
    <w:p w14:paraId="7D4773D4" w14:textId="77777777" w:rsidR="00292268" w:rsidRDefault="00292268">
      <w:pPr>
        <w:pBdr>
          <w:top w:val="nil"/>
          <w:left w:val="nil"/>
          <w:bottom w:val="nil"/>
          <w:right w:val="nil"/>
          <w:between w:val="nil"/>
        </w:pBdr>
        <w:spacing w:line="240" w:lineRule="auto"/>
        <w:ind w:left="720"/>
        <w:rPr>
          <w:color w:val="000000"/>
        </w:rPr>
      </w:pPr>
    </w:p>
    <w:p w14:paraId="39337C1C" w14:textId="77777777" w:rsidR="00292268" w:rsidRDefault="00E23837">
      <w:pPr>
        <w:numPr>
          <w:ilvl w:val="0"/>
          <w:numId w:val="3"/>
        </w:numPr>
        <w:pBdr>
          <w:top w:val="nil"/>
          <w:left w:val="nil"/>
          <w:bottom w:val="nil"/>
          <w:right w:val="nil"/>
          <w:between w:val="nil"/>
        </w:pBdr>
        <w:spacing w:line="240" w:lineRule="auto"/>
        <w:rPr>
          <w:b/>
          <w:color w:val="000000"/>
        </w:rPr>
      </w:pPr>
      <w:r>
        <w:rPr>
          <w:b/>
          <w:color w:val="000000"/>
        </w:rPr>
        <w:t>Resume</w:t>
      </w:r>
    </w:p>
    <w:p w14:paraId="072D0DD3" w14:textId="77777777" w:rsidR="00292268" w:rsidRDefault="00292268">
      <w:pPr>
        <w:pBdr>
          <w:top w:val="nil"/>
          <w:left w:val="nil"/>
          <w:bottom w:val="nil"/>
          <w:right w:val="nil"/>
          <w:between w:val="nil"/>
        </w:pBdr>
        <w:spacing w:line="240" w:lineRule="auto"/>
        <w:ind w:left="720"/>
        <w:rPr>
          <w:color w:val="000000"/>
        </w:rPr>
      </w:pPr>
    </w:p>
    <w:p w14:paraId="66780E59" w14:textId="77777777" w:rsidR="00292268" w:rsidRDefault="00E23837">
      <w:pPr>
        <w:numPr>
          <w:ilvl w:val="0"/>
          <w:numId w:val="3"/>
        </w:numPr>
        <w:pBdr>
          <w:top w:val="nil"/>
          <w:left w:val="nil"/>
          <w:bottom w:val="nil"/>
          <w:right w:val="nil"/>
          <w:between w:val="nil"/>
        </w:pBdr>
        <w:spacing w:line="240" w:lineRule="auto"/>
        <w:rPr>
          <w:b/>
          <w:color w:val="000000"/>
        </w:rPr>
      </w:pPr>
      <w:r>
        <w:rPr>
          <w:b/>
          <w:color w:val="000000"/>
        </w:rPr>
        <w:t xml:space="preserve">Associate Exam </w:t>
      </w:r>
    </w:p>
    <w:p w14:paraId="26CB5D1A" w14:textId="77777777" w:rsidR="00292268" w:rsidRDefault="00292268">
      <w:pPr>
        <w:pBdr>
          <w:top w:val="nil"/>
          <w:left w:val="nil"/>
          <w:bottom w:val="nil"/>
          <w:right w:val="nil"/>
          <w:between w:val="nil"/>
        </w:pBdr>
        <w:spacing w:line="240" w:lineRule="auto"/>
        <w:ind w:left="720"/>
        <w:rPr>
          <w:color w:val="000000"/>
        </w:rPr>
      </w:pPr>
    </w:p>
    <w:p w14:paraId="62BF7015" w14:textId="77777777" w:rsidR="00292268" w:rsidRDefault="00E23837">
      <w:pPr>
        <w:numPr>
          <w:ilvl w:val="0"/>
          <w:numId w:val="1"/>
        </w:numPr>
        <w:pBdr>
          <w:top w:val="nil"/>
          <w:left w:val="nil"/>
          <w:bottom w:val="nil"/>
          <w:right w:val="nil"/>
          <w:between w:val="nil"/>
        </w:pBdr>
        <w:spacing w:line="240" w:lineRule="auto"/>
      </w:pPr>
      <w:r>
        <w:rPr>
          <w:b/>
          <w:i/>
          <w:color w:val="000000"/>
        </w:rPr>
        <w:t xml:space="preserve">Textual Edits. </w:t>
      </w:r>
      <w:r>
        <w:rPr>
          <w:color w:val="000000"/>
        </w:rPr>
        <w:t>Detach pages 6-8 and edit the passage for grammar and punctuation. Please make your edits on the article pages in colored ink. Assume all substantive content presented in the passage is true and supported by the footnotes (i.e., you do not need to check the sources for content).</w:t>
      </w:r>
    </w:p>
    <w:p w14:paraId="653BB3F6" w14:textId="77777777" w:rsidR="00292268" w:rsidRDefault="00292268">
      <w:pPr>
        <w:pBdr>
          <w:top w:val="nil"/>
          <w:left w:val="nil"/>
          <w:bottom w:val="nil"/>
          <w:right w:val="nil"/>
          <w:between w:val="nil"/>
        </w:pBdr>
        <w:spacing w:line="240" w:lineRule="auto"/>
        <w:ind w:left="1080"/>
        <w:rPr>
          <w:color w:val="000000"/>
        </w:rPr>
      </w:pPr>
    </w:p>
    <w:p w14:paraId="3E73D882" w14:textId="77777777" w:rsidR="00292268" w:rsidRDefault="00E23837">
      <w:pPr>
        <w:numPr>
          <w:ilvl w:val="0"/>
          <w:numId w:val="1"/>
        </w:numPr>
        <w:pBdr>
          <w:top w:val="nil"/>
          <w:left w:val="nil"/>
          <w:bottom w:val="nil"/>
          <w:right w:val="nil"/>
          <w:between w:val="nil"/>
        </w:pBdr>
        <w:spacing w:line="240" w:lineRule="auto"/>
      </w:pPr>
      <w:r>
        <w:rPr>
          <w:b/>
          <w:i/>
          <w:color w:val="000000"/>
        </w:rPr>
        <w:t xml:space="preserve">Bluebook Corrections </w:t>
      </w:r>
      <w:r>
        <w:rPr>
          <w:color w:val="000000"/>
        </w:rPr>
        <w:t xml:space="preserve">(footnotes 1 through 20). </w:t>
      </w:r>
      <w:r>
        <w:rPr>
          <w:b/>
          <w:color w:val="000000"/>
        </w:rPr>
        <w:t>You should not directly edit the footnotes in this document.</w:t>
      </w:r>
      <w:r>
        <w:rPr>
          <w:color w:val="000000"/>
        </w:rPr>
        <w:t xml:space="preserve"> In a separate Word document, re-write footnotes 1 through 20 in accordance with the </w:t>
      </w:r>
      <w:r>
        <w:rPr>
          <w:i/>
          <w:color w:val="000000"/>
        </w:rPr>
        <w:t>Bluebook</w:t>
      </w:r>
      <w:r>
        <w:rPr>
          <w:color w:val="000000"/>
        </w:rPr>
        <w:t xml:space="preserve"> (21st ed.). If you think you have found a discrepancy, use your best judgment in answering (you can also add a brief note explaining the alleged issue). </w:t>
      </w:r>
    </w:p>
    <w:p w14:paraId="7D45BB87" w14:textId="77777777" w:rsidR="00292268" w:rsidRDefault="00292268">
      <w:pPr>
        <w:pBdr>
          <w:top w:val="nil"/>
          <w:left w:val="nil"/>
          <w:bottom w:val="nil"/>
          <w:right w:val="nil"/>
          <w:between w:val="nil"/>
        </w:pBdr>
        <w:ind w:left="720"/>
        <w:rPr>
          <w:color w:val="000000"/>
          <w:szCs w:val="24"/>
        </w:rPr>
      </w:pPr>
    </w:p>
    <w:p w14:paraId="7738351B" w14:textId="77777777" w:rsidR="00292268" w:rsidRDefault="00E23837">
      <w:pPr>
        <w:pBdr>
          <w:top w:val="nil"/>
          <w:left w:val="nil"/>
          <w:bottom w:val="nil"/>
          <w:right w:val="nil"/>
          <w:between w:val="nil"/>
        </w:pBdr>
        <w:spacing w:line="240" w:lineRule="auto"/>
      </w:pPr>
      <w:r>
        <w:t xml:space="preserve">Offers to join the </w:t>
      </w:r>
      <w:r>
        <w:rPr>
          <w:i/>
        </w:rPr>
        <w:t>Buffalo Human Rights Law Review</w:t>
      </w:r>
      <w:r>
        <w:t xml:space="preserve"> as an associate will be sent by email no later than June 15, 2022.</w:t>
      </w:r>
    </w:p>
    <w:p w14:paraId="425A51CE" w14:textId="77777777" w:rsidR="00292268" w:rsidRDefault="00292268">
      <w:pPr>
        <w:pBdr>
          <w:top w:val="nil"/>
          <w:left w:val="nil"/>
          <w:bottom w:val="nil"/>
          <w:right w:val="nil"/>
          <w:between w:val="nil"/>
        </w:pBdr>
        <w:spacing w:line="240" w:lineRule="auto"/>
        <w:rPr>
          <w:color w:val="000000"/>
        </w:rPr>
      </w:pPr>
    </w:p>
    <w:p w14:paraId="1E013590" w14:textId="77777777" w:rsidR="00292268" w:rsidRDefault="00292268">
      <w:pPr>
        <w:pBdr>
          <w:top w:val="nil"/>
          <w:left w:val="nil"/>
          <w:bottom w:val="nil"/>
          <w:right w:val="nil"/>
          <w:between w:val="nil"/>
        </w:pBdr>
        <w:spacing w:line="240" w:lineRule="auto"/>
        <w:ind w:right="990"/>
        <w:rPr>
          <w:color w:val="000000"/>
        </w:rPr>
      </w:pPr>
    </w:p>
    <w:p w14:paraId="2F70941B" w14:textId="77777777" w:rsidR="00292268" w:rsidRDefault="00E23837">
      <w:pPr>
        <w:pBdr>
          <w:top w:val="nil"/>
          <w:left w:val="nil"/>
          <w:bottom w:val="nil"/>
          <w:right w:val="nil"/>
          <w:between w:val="nil"/>
        </w:pBdr>
        <w:spacing w:line="240" w:lineRule="auto"/>
        <w:rPr>
          <w:color w:val="000000"/>
        </w:rPr>
      </w:pPr>
      <w:r>
        <w:rPr>
          <w:color w:val="000000"/>
        </w:rPr>
        <w:t xml:space="preserve">Late applications will not be considered. Questions or concerns may be emailed to the following: </w:t>
      </w:r>
    </w:p>
    <w:p w14:paraId="0CEE8B88" w14:textId="77777777" w:rsidR="00292268" w:rsidRDefault="00292268">
      <w:pPr>
        <w:pBdr>
          <w:top w:val="nil"/>
          <w:left w:val="nil"/>
          <w:bottom w:val="nil"/>
          <w:right w:val="nil"/>
          <w:between w:val="nil"/>
        </w:pBdr>
        <w:spacing w:line="240" w:lineRule="auto"/>
        <w:rPr>
          <w:color w:val="000000"/>
        </w:rPr>
      </w:pPr>
    </w:p>
    <w:p w14:paraId="366B8AF7" w14:textId="77777777" w:rsidR="00292268" w:rsidRDefault="00E23837">
      <w:pPr>
        <w:numPr>
          <w:ilvl w:val="0"/>
          <w:numId w:val="2"/>
        </w:numPr>
        <w:pBdr>
          <w:top w:val="nil"/>
          <w:left w:val="nil"/>
          <w:bottom w:val="nil"/>
          <w:right w:val="nil"/>
          <w:between w:val="nil"/>
        </w:pBdr>
        <w:spacing w:line="240" w:lineRule="auto"/>
        <w:rPr>
          <w:color w:val="000000"/>
        </w:rPr>
      </w:pPr>
      <w:r>
        <w:t>Scott Covino</w:t>
      </w:r>
      <w:r>
        <w:rPr>
          <w:color w:val="000000"/>
        </w:rPr>
        <w:t xml:space="preserve">, Editor-in-Chief: </w:t>
      </w:r>
      <w:hyperlink r:id="rId12">
        <w:r>
          <w:rPr>
            <w:color w:val="1155CC"/>
            <w:u w:val="single"/>
          </w:rPr>
          <w:t>scottcov@buffalo.edu</w:t>
        </w:r>
      </w:hyperlink>
      <w:r>
        <w:t xml:space="preserve"> </w:t>
      </w:r>
    </w:p>
    <w:p w14:paraId="56BF062A" w14:textId="77777777" w:rsidR="00292268" w:rsidRDefault="00E23837">
      <w:pPr>
        <w:numPr>
          <w:ilvl w:val="0"/>
          <w:numId w:val="2"/>
        </w:numPr>
        <w:pBdr>
          <w:top w:val="nil"/>
          <w:left w:val="nil"/>
          <w:bottom w:val="nil"/>
          <w:right w:val="nil"/>
          <w:between w:val="nil"/>
        </w:pBdr>
        <w:spacing w:line="240" w:lineRule="auto"/>
        <w:rPr>
          <w:color w:val="000000"/>
        </w:rPr>
      </w:pPr>
      <w:r>
        <w:t>Kari Ashworth</w:t>
      </w:r>
      <w:r>
        <w:rPr>
          <w:color w:val="000000"/>
        </w:rPr>
        <w:t>,</w:t>
      </w:r>
      <w:r>
        <w:t xml:space="preserve"> </w:t>
      </w:r>
      <w:r>
        <w:rPr>
          <w:color w:val="000000"/>
        </w:rPr>
        <w:t xml:space="preserve">Executive Editor: </w:t>
      </w:r>
      <w:hyperlink r:id="rId13">
        <w:r>
          <w:rPr>
            <w:color w:val="1155CC"/>
            <w:u w:val="single"/>
          </w:rPr>
          <w:t>kariashw@buffalo.edu</w:t>
        </w:r>
      </w:hyperlink>
      <w:r>
        <w:rPr>
          <w:color w:val="000000"/>
        </w:rPr>
        <w:t xml:space="preserve"> </w:t>
      </w:r>
    </w:p>
    <w:p w14:paraId="795C4A54" w14:textId="77777777" w:rsidR="00292268" w:rsidRDefault="00E23837">
      <w:pPr>
        <w:numPr>
          <w:ilvl w:val="0"/>
          <w:numId w:val="2"/>
        </w:numPr>
        <w:pBdr>
          <w:top w:val="nil"/>
          <w:left w:val="nil"/>
          <w:bottom w:val="nil"/>
          <w:right w:val="nil"/>
          <w:between w:val="nil"/>
        </w:pBdr>
        <w:spacing w:line="240" w:lineRule="auto"/>
        <w:rPr>
          <w:color w:val="000000"/>
        </w:rPr>
      </w:pPr>
      <w:r>
        <w:t>David Burgio</w:t>
      </w:r>
      <w:r>
        <w:rPr>
          <w:color w:val="000000"/>
        </w:rPr>
        <w:t xml:space="preserve">, Managing Editor: </w:t>
      </w:r>
      <w:hyperlink r:id="rId14">
        <w:r>
          <w:rPr>
            <w:color w:val="1155CC"/>
            <w:u w:val="single"/>
          </w:rPr>
          <w:t>dmburgio@buffalo.edu</w:t>
        </w:r>
      </w:hyperlink>
      <w:r>
        <w:t xml:space="preserve"> </w:t>
      </w:r>
    </w:p>
    <w:p w14:paraId="649C66E2" w14:textId="77777777" w:rsidR="00292268" w:rsidRDefault="00292268">
      <w:pPr>
        <w:pBdr>
          <w:top w:val="nil"/>
          <w:left w:val="nil"/>
          <w:bottom w:val="nil"/>
          <w:right w:val="nil"/>
          <w:between w:val="nil"/>
        </w:pBdr>
        <w:spacing w:line="240" w:lineRule="auto"/>
        <w:ind w:left="1080"/>
        <w:rPr>
          <w:color w:val="000000"/>
          <w:sz w:val="22"/>
        </w:rPr>
      </w:pPr>
    </w:p>
    <w:p w14:paraId="5F23DB5E" w14:textId="77777777" w:rsidR="00292268" w:rsidRDefault="00292268">
      <w:pPr>
        <w:pBdr>
          <w:top w:val="nil"/>
          <w:left w:val="nil"/>
          <w:bottom w:val="nil"/>
          <w:right w:val="nil"/>
          <w:between w:val="nil"/>
        </w:pBdr>
        <w:spacing w:line="240" w:lineRule="auto"/>
        <w:ind w:left="720"/>
        <w:rPr>
          <w:color w:val="000000"/>
          <w:sz w:val="22"/>
        </w:rPr>
      </w:pPr>
    </w:p>
    <w:p w14:paraId="7DA39B3B" w14:textId="77777777" w:rsidR="00292268" w:rsidRDefault="00292268">
      <w:pPr>
        <w:pBdr>
          <w:top w:val="nil"/>
          <w:left w:val="nil"/>
          <w:bottom w:val="nil"/>
          <w:right w:val="nil"/>
          <w:between w:val="nil"/>
        </w:pBdr>
        <w:spacing w:line="240" w:lineRule="auto"/>
        <w:ind w:left="720"/>
        <w:rPr>
          <w:color w:val="000000"/>
          <w:sz w:val="22"/>
        </w:rPr>
      </w:pPr>
    </w:p>
    <w:p w14:paraId="088730D4" w14:textId="77777777" w:rsidR="00292268" w:rsidRDefault="00292268">
      <w:pPr>
        <w:pBdr>
          <w:top w:val="nil"/>
          <w:left w:val="nil"/>
          <w:bottom w:val="nil"/>
          <w:right w:val="nil"/>
          <w:between w:val="nil"/>
        </w:pBdr>
        <w:spacing w:line="240" w:lineRule="auto"/>
        <w:ind w:left="720"/>
        <w:rPr>
          <w:color w:val="000000"/>
          <w:sz w:val="22"/>
        </w:rPr>
      </w:pPr>
    </w:p>
    <w:p w14:paraId="4568FB60" w14:textId="77777777" w:rsidR="00292268" w:rsidRDefault="00292268">
      <w:pPr>
        <w:pBdr>
          <w:top w:val="nil"/>
          <w:left w:val="nil"/>
          <w:bottom w:val="nil"/>
          <w:right w:val="nil"/>
          <w:between w:val="nil"/>
        </w:pBdr>
        <w:spacing w:line="240" w:lineRule="auto"/>
        <w:ind w:left="720"/>
        <w:rPr>
          <w:color w:val="000000"/>
          <w:sz w:val="22"/>
        </w:rPr>
      </w:pPr>
    </w:p>
    <w:p w14:paraId="67805ADA" w14:textId="77777777" w:rsidR="00292268" w:rsidRDefault="00292268">
      <w:pPr>
        <w:pBdr>
          <w:top w:val="nil"/>
          <w:left w:val="nil"/>
          <w:bottom w:val="nil"/>
          <w:right w:val="nil"/>
          <w:between w:val="nil"/>
        </w:pBdr>
        <w:spacing w:line="240" w:lineRule="auto"/>
        <w:ind w:left="720"/>
        <w:rPr>
          <w:color w:val="000000"/>
          <w:sz w:val="22"/>
        </w:rPr>
      </w:pPr>
    </w:p>
    <w:p w14:paraId="422A5A40" w14:textId="77777777" w:rsidR="00292268" w:rsidRDefault="00292268">
      <w:pPr>
        <w:pBdr>
          <w:top w:val="nil"/>
          <w:left w:val="nil"/>
          <w:bottom w:val="nil"/>
          <w:right w:val="nil"/>
          <w:between w:val="nil"/>
        </w:pBdr>
        <w:spacing w:line="240" w:lineRule="auto"/>
        <w:ind w:left="720"/>
        <w:rPr>
          <w:color w:val="000000"/>
          <w:sz w:val="22"/>
        </w:rPr>
      </w:pPr>
    </w:p>
    <w:p w14:paraId="6DD52928" w14:textId="77777777" w:rsidR="00292268" w:rsidRDefault="00292268">
      <w:pPr>
        <w:pBdr>
          <w:top w:val="nil"/>
          <w:left w:val="nil"/>
          <w:bottom w:val="nil"/>
          <w:right w:val="nil"/>
          <w:between w:val="nil"/>
        </w:pBdr>
        <w:spacing w:line="240" w:lineRule="auto"/>
        <w:ind w:left="720"/>
        <w:rPr>
          <w:color w:val="000000"/>
          <w:sz w:val="22"/>
        </w:rPr>
      </w:pPr>
    </w:p>
    <w:p w14:paraId="2598D08E" w14:textId="77777777" w:rsidR="00292268" w:rsidRDefault="00292268">
      <w:pPr>
        <w:pBdr>
          <w:top w:val="nil"/>
          <w:left w:val="nil"/>
          <w:bottom w:val="nil"/>
          <w:right w:val="nil"/>
          <w:between w:val="nil"/>
        </w:pBdr>
        <w:spacing w:line="240" w:lineRule="auto"/>
        <w:ind w:left="720"/>
        <w:rPr>
          <w:color w:val="000000"/>
          <w:sz w:val="22"/>
        </w:rPr>
      </w:pPr>
    </w:p>
    <w:p w14:paraId="72859626" w14:textId="77777777" w:rsidR="00292268" w:rsidRDefault="00292268">
      <w:pPr>
        <w:pBdr>
          <w:top w:val="nil"/>
          <w:left w:val="nil"/>
          <w:bottom w:val="nil"/>
          <w:right w:val="nil"/>
          <w:between w:val="nil"/>
        </w:pBdr>
        <w:spacing w:line="240" w:lineRule="auto"/>
        <w:jc w:val="center"/>
        <w:rPr>
          <w:b/>
          <w:color w:val="000000"/>
          <w:sz w:val="32"/>
          <w:szCs w:val="32"/>
        </w:rPr>
      </w:pPr>
    </w:p>
    <w:p w14:paraId="09DE2359" w14:textId="77777777" w:rsidR="00292268" w:rsidRDefault="00292268">
      <w:pPr>
        <w:pBdr>
          <w:top w:val="nil"/>
          <w:left w:val="nil"/>
          <w:bottom w:val="nil"/>
          <w:right w:val="nil"/>
          <w:between w:val="nil"/>
        </w:pBdr>
        <w:spacing w:line="240" w:lineRule="auto"/>
        <w:jc w:val="center"/>
        <w:rPr>
          <w:b/>
          <w:color w:val="000000"/>
          <w:sz w:val="32"/>
          <w:szCs w:val="32"/>
        </w:rPr>
      </w:pPr>
    </w:p>
    <w:p w14:paraId="29FEC468" w14:textId="77777777" w:rsidR="00292268" w:rsidRDefault="00292268">
      <w:pPr>
        <w:pBdr>
          <w:top w:val="nil"/>
          <w:left w:val="nil"/>
          <w:bottom w:val="nil"/>
          <w:right w:val="nil"/>
          <w:between w:val="nil"/>
        </w:pBdr>
        <w:spacing w:line="240" w:lineRule="auto"/>
        <w:jc w:val="center"/>
        <w:rPr>
          <w:b/>
          <w:color w:val="000000"/>
          <w:sz w:val="32"/>
          <w:szCs w:val="32"/>
        </w:rPr>
      </w:pPr>
    </w:p>
    <w:p w14:paraId="2DC190AA" w14:textId="77777777" w:rsidR="00292268" w:rsidRDefault="00292268">
      <w:pPr>
        <w:pBdr>
          <w:top w:val="nil"/>
          <w:left w:val="nil"/>
          <w:bottom w:val="nil"/>
          <w:right w:val="nil"/>
          <w:between w:val="nil"/>
        </w:pBdr>
        <w:spacing w:line="240" w:lineRule="auto"/>
        <w:rPr>
          <w:b/>
          <w:color w:val="000000"/>
          <w:sz w:val="32"/>
          <w:szCs w:val="32"/>
        </w:rPr>
      </w:pPr>
    </w:p>
    <w:p w14:paraId="75D79D26" w14:textId="77777777" w:rsidR="00292268" w:rsidRDefault="00E23837">
      <w:pPr>
        <w:pBdr>
          <w:top w:val="nil"/>
          <w:left w:val="nil"/>
          <w:bottom w:val="nil"/>
          <w:right w:val="nil"/>
          <w:between w:val="nil"/>
        </w:pBdr>
        <w:spacing w:line="240" w:lineRule="auto"/>
        <w:jc w:val="center"/>
        <w:rPr>
          <w:b/>
          <w:color w:val="000000"/>
          <w:sz w:val="32"/>
          <w:szCs w:val="32"/>
        </w:rPr>
      </w:pPr>
      <w:r>
        <w:rPr>
          <w:b/>
          <w:color w:val="000000"/>
          <w:sz w:val="32"/>
          <w:szCs w:val="32"/>
        </w:rPr>
        <w:lastRenderedPageBreak/>
        <w:t>BUFFALO HUMAN RIGHTS LAW REVIEW</w:t>
      </w:r>
    </w:p>
    <w:p w14:paraId="6BB4C160" w14:textId="77777777" w:rsidR="00292268" w:rsidRDefault="00292268">
      <w:pPr>
        <w:pBdr>
          <w:top w:val="nil"/>
          <w:left w:val="nil"/>
          <w:bottom w:val="nil"/>
          <w:right w:val="nil"/>
          <w:between w:val="nil"/>
        </w:pBdr>
        <w:spacing w:line="240" w:lineRule="auto"/>
        <w:jc w:val="center"/>
        <w:rPr>
          <w:color w:val="000000"/>
          <w:sz w:val="32"/>
          <w:szCs w:val="32"/>
        </w:rPr>
      </w:pPr>
    </w:p>
    <w:p w14:paraId="106B6269" w14:textId="77777777" w:rsidR="00292268" w:rsidRDefault="00E23837">
      <w:pPr>
        <w:pBdr>
          <w:top w:val="nil"/>
          <w:left w:val="nil"/>
          <w:bottom w:val="nil"/>
          <w:right w:val="nil"/>
          <w:between w:val="nil"/>
        </w:pBdr>
        <w:spacing w:line="240" w:lineRule="auto"/>
        <w:rPr>
          <w:color w:val="000000"/>
          <w:sz w:val="22"/>
        </w:rPr>
      </w:pPr>
      <w:r>
        <w:rPr>
          <w:color w:val="000000"/>
          <w:sz w:val="22"/>
        </w:rPr>
        <w:t xml:space="preserve">The </w:t>
      </w:r>
      <w:r>
        <w:rPr>
          <w:i/>
          <w:color w:val="000000"/>
          <w:sz w:val="22"/>
        </w:rPr>
        <w:t>Buffalo Human Rights Law Review</w:t>
      </w:r>
      <w:r>
        <w:rPr>
          <w:color w:val="000000"/>
          <w:sz w:val="22"/>
        </w:rPr>
        <w:t xml:space="preserve"> (</w:t>
      </w:r>
      <w:r>
        <w:rPr>
          <w:i/>
          <w:color w:val="000000"/>
          <w:sz w:val="22"/>
        </w:rPr>
        <w:t>BHRLR</w:t>
      </w:r>
      <w:r>
        <w:rPr>
          <w:color w:val="000000"/>
          <w:sz w:val="22"/>
        </w:rPr>
        <w:t xml:space="preserve">) focuses on the interdisciplinary study of international human rights law. Founded in 1994 as the </w:t>
      </w:r>
      <w:r>
        <w:rPr>
          <w:i/>
          <w:color w:val="000000"/>
          <w:sz w:val="22"/>
        </w:rPr>
        <w:t>Buffalo Journal of International Law</w:t>
      </w:r>
      <w:r>
        <w:rPr>
          <w:color w:val="000000"/>
          <w:sz w:val="22"/>
        </w:rPr>
        <w:t xml:space="preserve">, the </w:t>
      </w:r>
      <w:r>
        <w:rPr>
          <w:i/>
          <w:color w:val="000000"/>
          <w:sz w:val="22"/>
        </w:rPr>
        <w:t>BHRLR</w:t>
      </w:r>
      <w:r>
        <w:rPr>
          <w:color w:val="000000"/>
          <w:sz w:val="22"/>
        </w:rPr>
        <w:t xml:space="preserve"> was renamed in 1997 to better reflect the journal's projects and relationship to the UB Law International Law Program and the Buffalo Human Rights Center. The </w:t>
      </w:r>
      <w:r>
        <w:rPr>
          <w:i/>
          <w:color w:val="000000"/>
          <w:sz w:val="22"/>
        </w:rPr>
        <w:t>BHRLR</w:t>
      </w:r>
      <w:r>
        <w:rPr>
          <w:color w:val="000000"/>
          <w:sz w:val="22"/>
        </w:rPr>
        <w:t xml:space="preserve"> publishes annually in the Spring. Together with the related Buffalo Human Rights Center, the Baldy Center for Law &amp; Social Policy, and the UB Law Jessup International Moot Court competition teams, the </w:t>
      </w:r>
      <w:r>
        <w:rPr>
          <w:i/>
          <w:color w:val="000000"/>
          <w:sz w:val="22"/>
        </w:rPr>
        <w:t>BHRLR</w:t>
      </w:r>
      <w:r>
        <w:rPr>
          <w:color w:val="000000"/>
          <w:sz w:val="22"/>
        </w:rPr>
        <w:t xml:space="preserve"> seeks to unite professionals, students, legal practitioners, policymakers, advocates, and cross-disciplinary scholars, and to encourage thereby the development and practical application of human rights law. </w:t>
      </w:r>
    </w:p>
    <w:p w14:paraId="02AB043B" w14:textId="77777777" w:rsidR="00292268" w:rsidRDefault="00292268">
      <w:pPr>
        <w:pBdr>
          <w:top w:val="nil"/>
          <w:left w:val="nil"/>
          <w:bottom w:val="nil"/>
          <w:right w:val="nil"/>
          <w:between w:val="nil"/>
        </w:pBdr>
        <w:spacing w:line="240" w:lineRule="auto"/>
        <w:rPr>
          <w:color w:val="000000"/>
        </w:rPr>
      </w:pPr>
    </w:p>
    <w:p w14:paraId="75CDF3BE" w14:textId="77777777" w:rsidR="00292268" w:rsidRDefault="00E23837">
      <w:pPr>
        <w:pBdr>
          <w:top w:val="nil"/>
          <w:left w:val="nil"/>
          <w:bottom w:val="nil"/>
          <w:right w:val="nil"/>
          <w:between w:val="nil"/>
        </w:pBdr>
        <w:spacing w:line="240" w:lineRule="auto"/>
        <w:rPr>
          <w:color w:val="000000"/>
          <w:sz w:val="22"/>
        </w:rPr>
      </w:pPr>
      <w:r>
        <w:rPr>
          <w:color w:val="000000"/>
          <w:sz w:val="22"/>
        </w:rPr>
        <w:t xml:space="preserve">The </w:t>
      </w:r>
      <w:r>
        <w:rPr>
          <w:i/>
          <w:color w:val="000000"/>
          <w:sz w:val="22"/>
        </w:rPr>
        <w:t>BHRLR</w:t>
      </w:r>
      <w:r>
        <w:rPr>
          <w:color w:val="000000"/>
          <w:sz w:val="22"/>
        </w:rPr>
        <w:t xml:space="preserve"> strives to be one of the preeminent publications in the field of human rights. In furtherance of this endeavor, the </w:t>
      </w:r>
      <w:r>
        <w:rPr>
          <w:i/>
          <w:color w:val="000000"/>
          <w:sz w:val="22"/>
        </w:rPr>
        <w:t>BHRLR</w:t>
      </w:r>
      <w:r>
        <w:rPr>
          <w:color w:val="000000"/>
          <w:sz w:val="22"/>
        </w:rPr>
        <w:t xml:space="preserve"> is supported by an Editorial Board of Advisors composed of internationally recognized scholars and actors in human rights. The </w:t>
      </w:r>
      <w:r>
        <w:rPr>
          <w:i/>
          <w:color w:val="000000"/>
          <w:sz w:val="22"/>
        </w:rPr>
        <w:t>BHRLR</w:t>
      </w:r>
      <w:r>
        <w:rPr>
          <w:color w:val="000000"/>
          <w:sz w:val="22"/>
        </w:rPr>
        <w:t xml:space="preserve"> prides itself on maintaining the highest level of integrity and objectivity in its selection process. As a result, admission to the </w:t>
      </w:r>
      <w:r>
        <w:rPr>
          <w:i/>
          <w:color w:val="000000"/>
          <w:sz w:val="22"/>
        </w:rPr>
        <w:t>BHRLR</w:t>
      </w:r>
      <w:r>
        <w:rPr>
          <w:color w:val="000000"/>
          <w:sz w:val="22"/>
        </w:rPr>
        <w:t xml:space="preserve"> is open to the entire student body. Working on </w:t>
      </w:r>
      <w:r>
        <w:rPr>
          <w:i/>
          <w:color w:val="000000"/>
          <w:sz w:val="22"/>
        </w:rPr>
        <w:t>BHRLR</w:t>
      </w:r>
      <w:r>
        <w:rPr>
          <w:color w:val="000000"/>
          <w:sz w:val="22"/>
        </w:rPr>
        <w:t xml:space="preserve"> is a good opportunity to sharpen your research and writing skills, to learn the </w:t>
      </w:r>
      <w:r>
        <w:rPr>
          <w:i/>
          <w:color w:val="000000"/>
          <w:sz w:val="22"/>
        </w:rPr>
        <w:t>Bluebook</w:t>
      </w:r>
      <w:r>
        <w:rPr>
          <w:color w:val="000000"/>
          <w:sz w:val="22"/>
        </w:rPr>
        <w:t xml:space="preserve">, and to have your own work published. </w:t>
      </w:r>
    </w:p>
    <w:p w14:paraId="790CB596" w14:textId="77777777" w:rsidR="00292268" w:rsidRDefault="00292268">
      <w:pPr>
        <w:pBdr>
          <w:top w:val="nil"/>
          <w:left w:val="nil"/>
          <w:bottom w:val="nil"/>
          <w:right w:val="nil"/>
          <w:between w:val="nil"/>
        </w:pBdr>
        <w:spacing w:line="240" w:lineRule="auto"/>
        <w:rPr>
          <w:color w:val="000000"/>
        </w:rPr>
      </w:pPr>
    </w:p>
    <w:p w14:paraId="779F2C1B" w14:textId="77777777" w:rsidR="00292268" w:rsidRDefault="00E23837">
      <w:pPr>
        <w:pBdr>
          <w:top w:val="nil"/>
          <w:left w:val="nil"/>
          <w:bottom w:val="nil"/>
          <w:right w:val="nil"/>
          <w:between w:val="nil"/>
        </w:pBdr>
        <w:spacing w:line="240" w:lineRule="auto"/>
        <w:rPr>
          <w:color w:val="000000"/>
          <w:sz w:val="22"/>
        </w:rPr>
      </w:pPr>
      <w:r>
        <w:rPr>
          <w:color w:val="000000"/>
          <w:sz w:val="22"/>
        </w:rPr>
        <w:t xml:space="preserve">Because of the skills it teaches, membership on a journal is highly regarded by various employers. Further, if you are interested in human rights and international law, membership on the </w:t>
      </w:r>
      <w:r>
        <w:rPr>
          <w:i/>
          <w:color w:val="000000"/>
          <w:sz w:val="22"/>
        </w:rPr>
        <w:t>BHRLR</w:t>
      </w:r>
      <w:r>
        <w:rPr>
          <w:color w:val="000000"/>
          <w:sz w:val="22"/>
        </w:rPr>
        <w:t xml:space="preserve"> strengthens your exposure to and understanding of international human rights issues. The benefits of joining the </w:t>
      </w:r>
      <w:r>
        <w:rPr>
          <w:i/>
          <w:color w:val="000000"/>
          <w:sz w:val="22"/>
        </w:rPr>
        <w:t>BHRLR</w:t>
      </w:r>
      <w:r>
        <w:rPr>
          <w:color w:val="000000"/>
          <w:sz w:val="22"/>
        </w:rPr>
        <w:t xml:space="preserve"> extend well beyond top-paying jobs at major firms and prestigious judicial clerkships, NGOs and international fellowships and opportunities. </w:t>
      </w:r>
    </w:p>
    <w:p w14:paraId="306C0850" w14:textId="77777777" w:rsidR="00292268" w:rsidRDefault="00292268">
      <w:pPr>
        <w:pBdr>
          <w:top w:val="nil"/>
          <w:left w:val="nil"/>
          <w:bottom w:val="nil"/>
          <w:right w:val="nil"/>
          <w:between w:val="nil"/>
        </w:pBdr>
        <w:spacing w:line="240" w:lineRule="auto"/>
        <w:rPr>
          <w:color w:val="000000"/>
        </w:rPr>
      </w:pPr>
    </w:p>
    <w:p w14:paraId="3B87AC52" w14:textId="77777777" w:rsidR="00292268" w:rsidRDefault="00E23837">
      <w:pPr>
        <w:pBdr>
          <w:top w:val="nil"/>
          <w:left w:val="nil"/>
          <w:bottom w:val="nil"/>
          <w:right w:val="nil"/>
          <w:between w:val="nil"/>
        </w:pBdr>
        <w:spacing w:line="240" w:lineRule="auto"/>
        <w:rPr>
          <w:color w:val="000000"/>
          <w:sz w:val="22"/>
        </w:rPr>
      </w:pPr>
      <w:r>
        <w:rPr>
          <w:color w:val="000000"/>
          <w:sz w:val="22"/>
        </w:rPr>
        <w:t xml:space="preserve">Members of the </w:t>
      </w:r>
      <w:r>
        <w:rPr>
          <w:i/>
          <w:color w:val="000000"/>
          <w:sz w:val="22"/>
        </w:rPr>
        <w:t>BHRLR</w:t>
      </w:r>
      <w:r>
        <w:rPr>
          <w:color w:val="000000"/>
          <w:sz w:val="22"/>
        </w:rPr>
        <w:t xml:space="preserve"> spend many hours working together and as a result they form a vital part of the international network at UB Law. In conjunction with the Human Rights Center, members of the </w:t>
      </w:r>
      <w:r>
        <w:rPr>
          <w:i/>
          <w:color w:val="000000"/>
          <w:sz w:val="22"/>
        </w:rPr>
        <w:t>BHRLR</w:t>
      </w:r>
      <w:r>
        <w:rPr>
          <w:color w:val="000000"/>
          <w:sz w:val="22"/>
        </w:rPr>
        <w:t xml:space="preserve"> usually overlap with other international initiatives and opportunities at UB Law. </w:t>
      </w:r>
    </w:p>
    <w:p w14:paraId="5EEA95A9" w14:textId="77777777" w:rsidR="00292268" w:rsidRDefault="00292268">
      <w:pPr>
        <w:pBdr>
          <w:top w:val="nil"/>
          <w:left w:val="nil"/>
          <w:bottom w:val="nil"/>
          <w:right w:val="nil"/>
          <w:between w:val="nil"/>
        </w:pBdr>
        <w:spacing w:line="240" w:lineRule="auto"/>
        <w:rPr>
          <w:color w:val="000000"/>
        </w:rPr>
      </w:pPr>
    </w:p>
    <w:p w14:paraId="687C665C" w14:textId="77777777" w:rsidR="00292268" w:rsidRDefault="00E23837">
      <w:pPr>
        <w:pBdr>
          <w:top w:val="nil"/>
          <w:left w:val="nil"/>
          <w:bottom w:val="nil"/>
          <w:right w:val="nil"/>
          <w:between w:val="nil"/>
        </w:pBdr>
        <w:spacing w:line="240" w:lineRule="auto"/>
        <w:rPr>
          <w:color w:val="000000"/>
          <w:sz w:val="22"/>
        </w:rPr>
      </w:pPr>
      <w:r>
        <w:rPr>
          <w:color w:val="000000"/>
          <w:sz w:val="22"/>
        </w:rPr>
        <w:t xml:space="preserve">In short, serving as a member of the </w:t>
      </w:r>
      <w:r>
        <w:rPr>
          <w:i/>
          <w:color w:val="000000"/>
          <w:sz w:val="22"/>
        </w:rPr>
        <w:t>BHRLR</w:t>
      </w:r>
      <w:r>
        <w:rPr>
          <w:color w:val="000000"/>
          <w:sz w:val="22"/>
        </w:rPr>
        <w:t xml:space="preserve"> not only enhances your professional opportunities and abilities, it is an opportunity to make many new friends that share an interest in applying an international perspective to their Law School careers. </w:t>
      </w:r>
    </w:p>
    <w:p w14:paraId="076FBBD4" w14:textId="77777777" w:rsidR="00292268" w:rsidRDefault="00292268">
      <w:pPr>
        <w:pBdr>
          <w:top w:val="nil"/>
          <w:left w:val="nil"/>
          <w:bottom w:val="nil"/>
          <w:right w:val="nil"/>
          <w:between w:val="nil"/>
        </w:pBdr>
        <w:spacing w:line="240" w:lineRule="auto"/>
        <w:rPr>
          <w:color w:val="000000"/>
        </w:rPr>
      </w:pPr>
    </w:p>
    <w:p w14:paraId="648576C6" w14:textId="77777777" w:rsidR="00292268" w:rsidRDefault="00E23837">
      <w:pPr>
        <w:pBdr>
          <w:top w:val="nil"/>
          <w:left w:val="nil"/>
          <w:bottom w:val="nil"/>
          <w:right w:val="nil"/>
          <w:between w:val="nil"/>
        </w:pBdr>
        <w:spacing w:line="240" w:lineRule="auto"/>
        <w:rPr>
          <w:color w:val="000000"/>
        </w:rPr>
        <w:sectPr w:rsidR="00292268">
          <w:pgSz w:w="12240" w:h="15840"/>
          <w:pgMar w:top="1440" w:right="1440" w:bottom="1440" w:left="1440" w:header="720" w:footer="720" w:gutter="0"/>
          <w:cols w:space="720"/>
        </w:sectPr>
      </w:pPr>
      <w:r>
        <w:rPr>
          <w:color w:val="000000"/>
          <w:sz w:val="22"/>
        </w:rPr>
        <w:t xml:space="preserve">For more information, contact us at: </w:t>
      </w:r>
      <w:hyperlink r:id="rId15">
        <w:r>
          <w:rPr>
            <w:color w:val="0563C1"/>
            <w:sz w:val="22"/>
            <w:u w:val="single"/>
          </w:rPr>
          <w:t>buffalohrlr@gmail.com</w:t>
        </w:r>
      </w:hyperlink>
      <w:r>
        <w:rPr>
          <w:color w:val="000000"/>
          <w:sz w:val="22"/>
        </w:rPr>
        <w:t xml:space="preserve">. </w:t>
      </w:r>
    </w:p>
    <w:p w14:paraId="6F2A840F" w14:textId="77777777" w:rsidR="00292268" w:rsidRDefault="00E23837">
      <w:pPr>
        <w:pBdr>
          <w:top w:val="nil"/>
          <w:left w:val="nil"/>
          <w:bottom w:val="nil"/>
          <w:right w:val="nil"/>
          <w:between w:val="nil"/>
        </w:pBdr>
        <w:spacing w:line="240" w:lineRule="auto"/>
        <w:jc w:val="center"/>
        <w:rPr>
          <w:b/>
          <w:color w:val="000000"/>
          <w:sz w:val="32"/>
          <w:szCs w:val="32"/>
        </w:rPr>
      </w:pPr>
      <w:r>
        <w:rPr>
          <w:b/>
          <w:color w:val="000000"/>
          <w:sz w:val="32"/>
          <w:szCs w:val="32"/>
        </w:rPr>
        <w:lastRenderedPageBreak/>
        <w:t>COVER SHEET</w:t>
      </w:r>
    </w:p>
    <w:p w14:paraId="4D193680" w14:textId="77777777" w:rsidR="00292268" w:rsidRDefault="00292268">
      <w:pPr>
        <w:pBdr>
          <w:top w:val="nil"/>
          <w:left w:val="nil"/>
          <w:bottom w:val="nil"/>
          <w:right w:val="nil"/>
          <w:between w:val="nil"/>
        </w:pBdr>
        <w:spacing w:line="240" w:lineRule="auto"/>
        <w:rPr>
          <w:color w:val="000000"/>
          <w:sz w:val="28"/>
          <w:szCs w:val="28"/>
        </w:rPr>
      </w:pPr>
    </w:p>
    <w:p w14:paraId="5B4C9A80" w14:textId="77777777" w:rsidR="00292268" w:rsidRDefault="00292268">
      <w:pPr>
        <w:pBdr>
          <w:top w:val="nil"/>
          <w:left w:val="nil"/>
          <w:bottom w:val="nil"/>
          <w:right w:val="nil"/>
          <w:between w:val="nil"/>
        </w:pBdr>
        <w:spacing w:line="240" w:lineRule="auto"/>
        <w:rPr>
          <w:color w:val="000000"/>
        </w:rPr>
      </w:pPr>
    </w:p>
    <w:p w14:paraId="24CFFDB6" w14:textId="77777777" w:rsidR="00292268" w:rsidRDefault="00E23837">
      <w:pPr>
        <w:pBdr>
          <w:top w:val="nil"/>
          <w:left w:val="nil"/>
          <w:bottom w:val="nil"/>
          <w:right w:val="nil"/>
          <w:between w:val="nil"/>
        </w:pBdr>
        <w:spacing w:line="240" w:lineRule="auto"/>
        <w:rPr>
          <w:b/>
          <w:color w:val="000000"/>
        </w:rPr>
      </w:pPr>
      <w:r>
        <w:rPr>
          <w:b/>
          <w:color w:val="000000"/>
        </w:rPr>
        <w:t>Contact Information:</w:t>
      </w:r>
    </w:p>
    <w:p w14:paraId="5A450775" w14:textId="77777777" w:rsidR="00292268" w:rsidRDefault="00292268">
      <w:pPr>
        <w:pBdr>
          <w:top w:val="nil"/>
          <w:left w:val="nil"/>
          <w:bottom w:val="nil"/>
          <w:right w:val="nil"/>
          <w:between w:val="nil"/>
        </w:pBdr>
        <w:spacing w:line="240" w:lineRule="auto"/>
        <w:rPr>
          <w:color w:val="000000"/>
        </w:rPr>
      </w:pPr>
    </w:p>
    <w:tbl>
      <w:tblPr>
        <w:tblStyle w:val="a5"/>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0"/>
        <w:gridCol w:w="7090"/>
      </w:tblGrid>
      <w:tr w:rsidR="00292268" w14:paraId="247E8C55" w14:textId="77777777">
        <w:trPr>
          <w:trHeight w:val="412"/>
        </w:trPr>
        <w:tc>
          <w:tcPr>
            <w:tcW w:w="2240" w:type="dxa"/>
            <w:shd w:val="clear" w:color="auto" w:fill="F2F2F2"/>
            <w:vAlign w:val="center"/>
          </w:tcPr>
          <w:p w14:paraId="253BF344" w14:textId="77777777" w:rsidR="00292268" w:rsidRDefault="00E23837">
            <w:pPr>
              <w:pBdr>
                <w:top w:val="nil"/>
                <w:left w:val="nil"/>
                <w:bottom w:val="nil"/>
                <w:right w:val="nil"/>
                <w:between w:val="nil"/>
              </w:pBdr>
              <w:spacing w:line="240" w:lineRule="auto"/>
              <w:jc w:val="right"/>
              <w:rPr>
                <w:color w:val="000000"/>
              </w:rPr>
            </w:pPr>
            <w:r>
              <w:rPr>
                <w:color w:val="000000"/>
              </w:rPr>
              <w:t>Name</w:t>
            </w:r>
          </w:p>
        </w:tc>
        <w:tc>
          <w:tcPr>
            <w:tcW w:w="7090" w:type="dxa"/>
            <w:vAlign w:val="center"/>
          </w:tcPr>
          <w:p w14:paraId="07F0306D" w14:textId="77777777" w:rsidR="00292268" w:rsidRDefault="00292268">
            <w:pPr>
              <w:pBdr>
                <w:top w:val="nil"/>
                <w:left w:val="nil"/>
                <w:bottom w:val="nil"/>
                <w:right w:val="nil"/>
                <w:between w:val="nil"/>
              </w:pBdr>
              <w:spacing w:line="240" w:lineRule="auto"/>
              <w:jc w:val="right"/>
              <w:rPr>
                <w:color w:val="000000"/>
              </w:rPr>
            </w:pPr>
          </w:p>
        </w:tc>
      </w:tr>
      <w:tr w:rsidR="00292268" w14:paraId="5981F515" w14:textId="77777777">
        <w:trPr>
          <w:trHeight w:val="442"/>
        </w:trPr>
        <w:tc>
          <w:tcPr>
            <w:tcW w:w="2240" w:type="dxa"/>
            <w:shd w:val="clear" w:color="auto" w:fill="F2F2F2"/>
            <w:vAlign w:val="center"/>
          </w:tcPr>
          <w:p w14:paraId="25DA5E57" w14:textId="77777777" w:rsidR="00292268" w:rsidRDefault="00E23837">
            <w:pPr>
              <w:pBdr>
                <w:top w:val="nil"/>
                <w:left w:val="nil"/>
                <w:bottom w:val="nil"/>
                <w:right w:val="nil"/>
                <w:between w:val="nil"/>
              </w:pBdr>
              <w:spacing w:line="240" w:lineRule="auto"/>
              <w:jc w:val="right"/>
              <w:rPr>
                <w:color w:val="000000"/>
              </w:rPr>
            </w:pPr>
            <w:r>
              <w:rPr>
                <w:color w:val="000000"/>
              </w:rPr>
              <w:t>Phone Number</w:t>
            </w:r>
          </w:p>
        </w:tc>
        <w:tc>
          <w:tcPr>
            <w:tcW w:w="7090" w:type="dxa"/>
            <w:vAlign w:val="center"/>
          </w:tcPr>
          <w:p w14:paraId="4561F1B1" w14:textId="77777777" w:rsidR="00292268" w:rsidRDefault="00292268">
            <w:pPr>
              <w:pBdr>
                <w:top w:val="nil"/>
                <w:left w:val="nil"/>
                <w:bottom w:val="nil"/>
                <w:right w:val="nil"/>
                <w:between w:val="nil"/>
              </w:pBdr>
              <w:spacing w:line="240" w:lineRule="auto"/>
              <w:jc w:val="right"/>
              <w:rPr>
                <w:color w:val="000000"/>
              </w:rPr>
            </w:pPr>
          </w:p>
        </w:tc>
      </w:tr>
      <w:tr w:rsidR="00292268" w14:paraId="194032CD" w14:textId="77777777">
        <w:trPr>
          <w:trHeight w:val="412"/>
        </w:trPr>
        <w:tc>
          <w:tcPr>
            <w:tcW w:w="2240" w:type="dxa"/>
            <w:shd w:val="clear" w:color="auto" w:fill="F2F2F2"/>
            <w:vAlign w:val="center"/>
          </w:tcPr>
          <w:p w14:paraId="69A4020A" w14:textId="77777777" w:rsidR="00292268" w:rsidRDefault="00E23837">
            <w:pPr>
              <w:pBdr>
                <w:top w:val="nil"/>
                <w:left w:val="nil"/>
                <w:bottom w:val="nil"/>
                <w:right w:val="nil"/>
                <w:between w:val="nil"/>
              </w:pBdr>
              <w:spacing w:line="240" w:lineRule="auto"/>
              <w:jc w:val="right"/>
              <w:rPr>
                <w:color w:val="000000"/>
              </w:rPr>
            </w:pPr>
            <w:r>
              <w:rPr>
                <w:color w:val="000000"/>
              </w:rPr>
              <w:t>Class Year (1L, 2L)</w:t>
            </w:r>
          </w:p>
        </w:tc>
        <w:tc>
          <w:tcPr>
            <w:tcW w:w="7090" w:type="dxa"/>
            <w:vAlign w:val="center"/>
          </w:tcPr>
          <w:p w14:paraId="53EF2A8D" w14:textId="77777777" w:rsidR="00292268" w:rsidRDefault="00292268">
            <w:pPr>
              <w:pBdr>
                <w:top w:val="nil"/>
                <w:left w:val="nil"/>
                <w:bottom w:val="nil"/>
                <w:right w:val="nil"/>
                <w:between w:val="nil"/>
              </w:pBdr>
              <w:spacing w:line="240" w:lineRule="auto"/>
              <w:jc w:val="right"/>
              <w:rPr>
                <w:color w:val="000000"/>
              </w:rPr>
            </w:pPr>
          </w:p>
        </w:tc>
      </w:tr>
      <w:tr w:rsidR="00292268" w14:paraId="547C0122" w14:textId="77777777">
        <w:trPr>
          <w:trHeight w:val="412"/>
        </w:trPr>
        <w:tc>
          <w:tcPr>
            <w:tcW w:w="2240" w:type="dxa"/>
            <w:shd w:val="clear" w:color="auto" w:fill="F2F2F2"/>
            <w:vAlign w:val="center"/>
          </w:tcPr>
          <w:p w14:paraId="4EE99234" w14:textId="77777777" w:rsidR="00292268" w:rsidRDefault="00E23837">
            <w:pPr>
              <w:pBdr>
                <w:top w:val="nil"/>
                <w:left w:val="nil"/>
                <w:bottom w:val="nil"/>
                <w:right w:val="nil"/>
                <w:between w:val="nil"/>
              </w:pBdr>
              <w:spacing w:line="240" w:lineRule="auto"/>
              <w:jc w:val="right"/>
              <w:rPr>
                <w:color w:val="000000"/>
                <w:sz w:val="28"/>
                <w:szCs w:val="28"/>
              </w:rPr>
            </w:pPr>
            <w:r>
              <w:rPr>
                <w:color w:val="000000"/>
              </w:rPr>
              <w:t>Email Address</w:t>
            </w:r>
          </w:p>
        </w:tc>
        <w:tc>
          <w:tcPr>
            <w:tcW w:w="7090" w:type="dxa"/>
            <w:vAlign w:val="center"/>
          </w:tcPr>
          <w:p w14:paraId="719AA36A" w14:textId="77777777" w:rsidR="00292268" w:rsidRDefault="00292268">
            <w:pPr>
              <w:pBdr>
                <w:top w:val="nil"/>
                <w:left w:val="nil"/>
                <w:bottom w:val="nil"/>
                <w:right w:val="nil"/>
                <w:between w:val="nil"/>
              </w:pBdr>
              <w:spacing w:line="240" w:lineRule="auto"/>
              <w:jc w:val="right"/>
              <w:rPr>
                <w:color w:val="000000"/>
              </w:rPr>
            </w:pPr>
          </w:p>
        </w:tc>
      </w:tr>
    </w:tbl>
    <w:p w14:paraId="34445749" w14:textId="77777777" w:rsidR="00292268" w:rsidRDefault="00292268">
      <w:pPr>
        <w:pBdr>
          <w:top w:val="nil"/>
          <w:left w:val="nil"/>
          <w:bottom w:val="nil"/>
          <w:right w:val="nil"/>
          <w:between w:val="nil"/>
        </w:pBdr>
        <w:spacing w:line="240" w:lineRule="auto"/>
        <w:rPr>
          <w:b/>
          <w:color w:val="000000"/>
        </w:rPr>
      </w:pPr>
    </w:p>
    <w:p w14:paraId="3CD54E82" w14:textId="77777777" w:rsidR="00292268" w:rsidRDefault="00292268">
      <w:pPr>
        <w:pBdr>
          <w:top w:val="nil"/>
          <w:left w:val="nil"/>
          <w:bottom w:val="nil"/>
          <w:right w:val="nil"/>
          <w:between w:val="nil"/>
        </w:pBdr>
        <w:spacing w:line="240" w:lineRule="auto"/>
        <w:rPr>
          <w:color w:val="000000"/>
        </w:rPr>
      </w:pPr>
    </w:p>
    <w:p w14:paraId="5E319389" w14:textId="77777777" w:rsidR="00292268" w:rsidRDefault="00292268">
      <w:pPr>
        <w:pBdr>
          <w:top w:val="nil"/>
          <w:left w:val="nil"/>
          <w:bottom w:val="nil"/>
          <w:right w:val="nil"/>
          <w:between w:val="nil"/>
        </w:pBdr>
        <w:spacing w:line="240" w:lineRule="auto"/>
        <w:rPr>
          <w:color w:val="000000"/>
        </w:rPr>
      </w:pPr>
    </w:p>
    <w:p w14:paraId="2EF5E575" w14:textId="77777777" w:rsidR="00292268" w:rsidRDefault="00292268">
      <w:pPr>
        <w:pBdr>
          <w:top w:val="nil"/>
          <w:left w:val="nil"/>
          <w:bottom w:val="nil"/>
          <w:right w:val="nil"/>
          <w:between w:val="nil"/>
        </w:pBdr>
        <w:spacing w:line="240" w:lineRule="auto"/>
        <w:rPr>
          <w:color w:val="000000"/>
        </w:rPr>
      </w:pPr>
    </w:p>
    <w:p w14:paraId="2A70888E" w14:textId="77777777" w:rsidR="00292268" w:rsidRDefault="00292268">
      <w:pPr>
        <w:pBdr>
          <w:top w:val="nil"/>
          <w:left w:val="nil"/>
          <w:bottom w:val="nil"/>
          <w:right w:val="nil"/>
          <w:between w:val="nil"/>
        </w:pBdr>
        <w:spacing w:line="240" w:lineRule="auto"/>
        <w:rPr>
          <w:color w:val="000000"/>
        </w:rPr>
      </w:pPr>
    </w:p>
    <w:p w14:paraId="3A337B44" w14:textId="77777777" w:rsidR="00292268" w:rsidRDefault="00292268">
      <w:pPr>
        <w:pBdr>
          <w:top w:val="nil"/>
          <w:left w:val="nil"/>
          <w:bottom w:val="nil"/>
          <w:right w:val="nil"/>
          <w:between w:val="nil"/>
        </w:pBdr>
        <w:spacing w:line="240" w:lineRule="auto"/>
        <w:rPr>
          <w:color w:val="000000"/>
        </w:rPr>
      </w:pPr>
    </w:p>
    <w:p w14:paraId="640CA4B6" w14:textId="77777777" w:rsidR="00292268" w:rsidRDefault="00292268">
      <w:pPr>
        <w:pBdr>
          <w:top w:val="nil"/>
          <w:left w:val="nil"/>
          <w:bottom w:val="nil"/>
          <w:right w:val="nil"/>
          <w:between w:val="nil"/>
        </w:pBdr>
        <w:spacing w:line="240" w:lineRule="auto"/>
        <w:rPr>
          <w:color w:val="000000"/>
        </w:rPr>
      </w:pPr>
    </w:p>
    <w:p w14:paraId="5417BF1F" w14:textId="77777777" w:rsidR="00292268" w:rsidRDefault="00292268">
      <w:pPr>
        <w:pBdr>
          <w:top w:val="nil"/>
          <w:left w:val="nil"/>
          <w:bottom w:val="nil"/>
          <w:right w:val="nil"/>
          <w:between w:val="nil"/>
        </w:pBdr>
        <w:spacing w:line="240" w:lineRule="auto"/>
        <w:rPr>
          <w:color w:val="000000"/>
        </w:rPr>
      </w:pPr>
    </w:p>
    <w:p w14:paraId="2E0BDC68" w14:textId="77777777" w:rsidR="00292268" w:rsidRDefault="00292268">
      <w:pPr>
        <w:pBdr>
          <w:top w:val="nil"/>
          <w:left w:val="nil"/>
          <w:bottom w:val="nil"/>
          <w:right w:val="nil"/>
          <w:between w:val="nil"/>
        </w:pBdr>
        <w:spacing w:line="240" w:lineRule="auto"/>
        <w:rPr>
          <w:color w:val="000000"/>
        </w:rPr>
      </w:pPr>
    </w:p>
    <w:p w14:paraId="18135AF3" w14:textId="77777777" w:rsidR="00292268" w:rsidRDefault="00292268">
      <w:pPr>
        <w:pBdr>
          <w:top w:val="nil"/>
          <w:left w:val="nil"/>
          <w:bottom w:val="nil"/>
          <w:right w:val="nil"/>
          <w:between w:val="nil"/>
        </w:pBdr>
        <w:spacing w:line="240" w:lineRule="auto"/>
        <w:rPr>
          <w:color w:val="000000"/>
        </w:rPr>
      </w:pPr>
    </w:p>
    <w:p w14:paraId="3994D599" w14:textId="77777777" w:rsidR="00292268" w:rsidRDefault="00292268">
      <w:pPr>
        <w:pBdr>
          <w:top w:val="nil"/>
          <w:left w:val="nil"/>
          <w:bottom w:val="nil"/>
          <w:right w:val="nil"/>
          <w:between w:val="nil"/>
        </w:pBdr>
        <w:spacing w:line="240" w:lineRule="auto"/>
        <w:rPr>
          <w:color w:val="000000"/>
        </w:rPr>
      </w:pPr>
    </w:p>
    <w:p w14:paraId="1DD326B3" w14:textId="77777777" w:rsidR="00292268" w:rsidRDefault="00292268">
      <w:pPr>
        <w:pBdr>
          <w:top w:val="nil"/>
          <w:left w:val="nil"/>
          <w:bottom w:val="nil"/>
          <w:right w:val="nil"/>
          <w:between w:val="nil"/>
        </w:pBdr>
        <w:spacing w:line="240" w:lineRule="auto"/>
        <w:rPr>
          <w:color w:val="000000"/>
        </w:rPr>
      </w:pPr>
    </w:p>
    <w:p w14:paraId="48806BE1" w14:textId="77777777" w:rsidR="00292268" w:rsidRDefault="00292268">
      <w:pPr>
        <w:pBdr>
          <w:top w:val="nil"/>
          <w:left w:val="nil"/>
          <w:bottom w:val="nil"/>
          <w:right w:val="nil"/>
          <w:between w:val="nil"/>
        </w:pBdr>
        <w:spacing w:line="240" w:lineRule="auto"/>
        <w:rPr>
          <w:color w:val="000000"/>
        </w:rPr>
      </w:pPr>
    </w:p>
    <w:p w14:paraId="01B78231" w14:textId="77777777" w:rsidR="00292268" w:rsidRDefault="00292268">
      <w:pPr>
        <w:pBdr>
          <w:top w:val="nil"/>
          <w:left w:val="nil"/>
          <w:bottom w:val="nil"/>
          <w:right w:val="nil"/>
          <w:between w:val="nil"/>
        </w:pBdr>
        <w:spacing w:line="240" w:lineRule="auto"/>
        <w:rPr>
          <w:color w:val="000000"/>
        </w:rPr>
      </w:pPr>
    </w:p>
    <w:p w14:paraId="780A310B" w14:textId="77777777" w:rsidR="00292268" w:rsidRDefault="00292268">
      <w:pPr>
        <w:pBdr>
          <w:top w:val="nil"/>
          <w:left w:val="nil"/>
          <w:bottom w:val="nil"/>
          <w:right w:val="nil"/>
          <w:between w:val="nil"/>
        </w:pBdr>
        <w:spacing w:line="240" w:lineRule="auto"/>
        <w:rPr>
          <w:color w:val="000000"/>
        </w:rPr>
      </w:pPr>
    </w:p>
    <w:p w14:paraId="3A086963" w14:textId="77777777" w:rsidR="00292268" w:rsidRDefault="00292268">
      <w:pPr>
        <w:pBdr>
          <w:top w:val="nil"/>
          <w:left w:val="nil"/>
          <w:bottom w:val="nil"/>
          <w:right w:val="nil"/>
          <w:between w:val="nil"/>
        </w:pBdr>
        <w:spacing w:line="240" w:lineRule="auto"/>
        <w:rPr>
          <w:color w:val="000000"/>
        </w:rPr>
      </w:pPr>
    </w:p>
    <w:p w14:paraId="6FBFC537" w14:textId="77777777" w:rsidR="00292268" w:rsidRDefault="00292268">
      <w:pPr>
        <w:pBdr>
          <w:top w:val="nil"/>
          <w:left w:val="nil"/>
          <w:bottom w:val="nil"/>
          <w:right w:val="nil"/>
          <w:between w:val="nil"/>
        </w:pBdr>
        <w:spacing w:line="240" w:lineRule="auto"/>
        <w:rPr>
          <w:color w:val="000000"/>
        </w:rPr>
      </w:pPr>
    </w:p>
    <w:p w14:paraId="2AFDCF69" w14:textId="77777777" w:rsidR="00292268" w:rsidRDefault="00292268">
      <w:pPr>
        <w:pBdr>
          <w:top w:val="nil"/>
          <w:left w:val="nil"/>
          <w:bottom w:val="nil"/>
          <w:right w:val="nil"/>
          <w:between w:val="nil"/>
        </w:pBdr>
        <w:spacing w:line="240" w:lineRule="auto"/>
        <w:rPr>
          <w:color w:val="000000"/>
        </w:rPr>
      </w:pPr>
    </w:p>
    <w:p w14:paraId="660AAF82" w14:textId="77777777" w:rsidR="00292268" w:rsidRDefault="00292268">
      <w:pPr>
        <w:pBdr>
          <w:top w:val="nil"/>
          <w:left w:val="nil"/>
          <w:bottom w:val="nil"/>
          <w:right w:val="nil"/>
          <w:between w:val="nil"/>
        </w:pBdr>
        <w:spacing w:line="240" w:lineRule="auto"/>
        <w:rPr>
          <w:color w:val="000000"/>
        </w:rPr>
      </w:pPr>
    </w:p>
    <w:p w14:paraId="42FBE931" w14:textId="77777777" w:rsidR="00292268" w:rsidRDefault="00292268">
      <w:pPr>
        <w:pBdr>
          <w:top w:val="nil"/>
          <w:left w:val="nil"/>
          <w:bottom w:val="nil"/>
          <w:right w:val="nil"/>
          <w:between w:val="nil"/>
        </w:pBdr>
        <w:spacing w:line="240" w:lineRule="auto"/>
        <w:rPr>
          <w:color w:val="000000"/>
        </w:rPr>
      </w:pPr>
    </w:p>
    <w:p w14:paraId="552DC3E8" w14:textId="77777777" w:rsidR="00292268" w:rsidRDefault="00292268">
      <w:pPr>
        <w:pBdr>
          <w:top w:val="nil"/>
          <w:left w:val="nil"/>
          <w:bottom w:val="nil"/>
          <w:right w:val="nil"/>
          <w:between w:val="nil"/>
        </w:pBdr>
        <w:spacing w:line="240" w:lineRule="auto"/>
        <w:rPr>
          <w:color w:val="000000"/>
        </w:rPr>
      </w:pPr>
    </w:p>
    <w:p w14:paraId="57C18395" w14:textId="77777777" w:rsidR="00292268" w:rsidRDefault="00E23837">
      <w:pPr>
        <w:pBdr>
          <w:top w:val="nil"/>
          <w:left w:val="nil"/>
          <w:bottom w:val="nil"/>
          <w:right w:val="nil"/>
          <w:between w:val="nil"/>
        </w:pBdr>
        <w:spacing w:line="240" w:lineRule="auto"/>
        <w:rPr>
          <w:color w:val="000000"/>
          <w:sz w:val="28"/>
          <w:szCs w:val="28"/>
        </w:rPr>
      </w:pPr>
      <w:r>
        <w:rPr>
          <w:color w:val="000000"/>
        </w:rPr>
        <w:br/>
      </w:r>
      <w:r>
        <w:rPr>
          <w:b/>
          <w:color w:val="000000"/>
        </w:rPr>
        <w:t xml:space="preserve">Grading Rubric (leave blank, for journal use only): </w:t>
      </w:r>
    </w:p>
    <w:p w14:paraId="35E1BEF9" w14:textId="77777777" w:rsidR="00292268" w:rsidRDefault="00E23837">
      <w:pPr>
        <w:pBdr>
          <w:top w:val="nil"/>
          <w:left w:val="nil"/>
          <w:bottom w:val="nil"/>
          <w:right w:val="nil"/>
          <w:between w:val="nil"/>
        </w:pBdr>
        <w:spacing w:line="240" w:lineRule="auto"/>
        <w:rPr>
          <w:color w:val="000000"/>
        </w:rPr>
      </w:pPr>
      <w:r>
        <w:rPr>
          <w:color w:val="000000"/>
        </w:rPr>
        <w:t xml:space="preserve"> </w:t>
      </w:r>
    </w:p>
    <w:tbl>
      <w:tblPr>
        <w:tblStyle w:val="a6"/>
        <w:tblW w:w="5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9"/>
        <w:gridCol w:w="1145"/>
        <w:gridCol w:w="1041"/>
      </w:tblGrid>
      <w:tr w:rsidR="00292268" w14:paraId="3CA297A6" w14:textId="77777777">
        <w:trPr>
          <w:trHeight w:val="355"/>
        </w:trPr>
        <w:tc>
          <w:tcPr>
            <w:tcW w:w="2909" w:type="dxa"/>
            <w:shd w:val="clear" w:color="auto" w:fill="D9D9D9"/>
            <w:vAlign w:val="center"/>
          </w:tcPr>
          <w:p w14:paraId="30683A1D" w14:textId="77777777" w:rsidR="00292268" w:rsidRDefault="00E23837">
            <w:pPr>
              <w:pBdr>
                <w:top w:val="nil"/>
                <w:left w:val="nil"/>
                <w:bottom w:val="nil"/>
                <w:right w:val="nil"/>
                <w:between w:val="nil"/>
              </w:pBdr>
              <w:spacing w:line="240" w:lineRule="auto"/>
              <w:jc w:val="center"/>
              <w:rPr>
                <w:b/>
                <w:color w:val="000000"/>
              </w:rPr>
            </w:pPr>
            <w:r>
              <w:rPr>
                <w:b/>
                <w:color w:val="000000"/>
              </w:rPr>
              <w:t>Category</w:t>
            </w:r>
          </w:p>
        </w:tc>
        <w:tc>
          <w:tcPr>
            <w:tcW w:w="1145" w:type="dxa"/>
            <w:shd w:val="clear" w:color="auto" w:fill="D9D9D9"/>
            <w:vAlign w:val="center"/>
          </w:tcPr>
          <w:p w14:paraId="298A3457" w14:textId="77777777" w:rsidR="00292268" w:rsidRDefault="00E23837">
            <w:pPr>
              <w:pBdr>
                <w:top w:val="nil"/>
                <w:left w:val="nil"/>
                <w:bottom w:val="nil"/>
                <w:right w:val="nil"/>
                <w:between w:val="nil"/>
              </w:pBdr>
              <w:spacing w:line="240" w:lineRule="auto"/>
              <w:jc w:val="center"/>
              <w:rPr>
                <w:b/>
                <w:color w:val="000000"/>
              </w:rPr>
            </w:pPr>
            <w:r>
              <w:rPr>
                <w:b/>
                <w:color w:val="000000"/>
              </w:rPr>
              <w:t>Value</w:t>
            </w:r>
          </w:p>
        </w:tc>
        <w:tc>
          <w:tcPr>
            <w:tcW w:w="1041" w:type="dxa"/>
            <w:shd w:val="clear" w:color="auto" w:fill="D9D9D9"/>
            <w:vAlign w:val="center"/>
          </w:tcPr>
          <w:p w14:paraId="3606C439" w14:textId="77777777" w:rsidR="00292268" w:rsidRDefault="00E23837">
            <w:pPr>
              <w:pBdr>
                <w:top w:val="nil"/>
                <w:left w:val="nil"/>
                <w:bottom w:val="nil"/>
                <w:right w:val="nil"/>
                <w:between w:val="nil"/>
              </w:pBdr>
              <w:spacing w:line="240" w:lineRule="auto"/>
              <w:jc w:val="center"/>
              <w:rPr>
                <w:b/>
                <w:color w:val="000000"/>
              </w:rPr>
            </w:pPr>
            <w:r>
              <w:rPr>
                <w:b/>
                <w:color w:val="000000"/>
              </w:rPr>
              <w:t>Score</w:t>
            </w:r>
          </w:p>
        </w:tc>
      </w:tr>
      <w:tr w:rsidR="00292268" w14:paraId="34691491" w14:textId="77777777">
        <w:trPr>
          <w:trHeight w:val="380"/>
        </w:trPr>
        <w:tc>
          <w:tcPr>
            <w:tcW w:w="2909" w:type="dxa"/>
            <w:shd w:val="clear" w:color="auto" w:fill="F2F2F2"/>
            <w:vAlign w:val="center"/>
          </w:tcPr>
          <w:p w14:paraId="44A08615" w14:textId="77777777" w:rsidR="00292268" w:rsidRDefault="00E23837">
            <w:pPr>
              <w:pBdr>
                <w:top w:val="nil"/>
                <w:left w:val="nil"/>
                <w:bottom w:val="nil"/>
                <w:right w:val="nil"/>
                <w:between w:val="nil"/>
              </w:pBdr>
              <w:spacing w:line="240" w:lineRule="auto"/>
              <w:jc w:val="right"/>
              <w:rPr>
                <w:color w:val="000000"/>
              </w:rPr>
            </w:pPr>
            <w:r>
              <w:rPr>
                <w:color w:val="000000"/>
              </w:rPr>
              <w:t>Resume</w:t>
            </w:r>
          </w:p>
        </w:tc>
        <w:tc>
          <w:tcPr>
            <w:tcW w:w="1145" w:type="dxa"/>
            <w:vAlign w:val="center"/>
          </w:tcPr>
          <w:p w14:paraId="5D44B81B" w14:textId="77777777" w:rsidR="00292268" w:rsidRDefault="00E23837">
            <w:pPr>
              <w:pBdr>
                <w:top w:val="nil"/>
                <w:left w:val="nil"/>
                <w:bottom w:val="nil"/>
                <w:right w:val="nil"/>
                <w:between w:val="nil"/>
              </w:pBdr>
              <w:spacing w:line="240" w:lineRule="auto"/>
              <w:jc w:val="center"/>
              <w:rPr>
                <w:color w:val="000000"/>
              </w:rPr>
            </w:pPr>
            <w:r>
              <w:rPr>
                <w:color w:val="000000"/>
              </w:rPr>
              <w:t>10</w:t>
            </w:r>
          </w:p>
        </w:tc>
        <w:tc>
          <w:tcPr>
            <w:tcW w:w="1041" w:type="dxa"/>
            <w:vAlign w:val="center"/>
          </w:tcPr>
          <w:p w14:paraId="3057D3E7" w14:textId="77777777" w:rsidR="00292268" w:rsidRDefault="00292268">
            <w:pPr>
              <w:pBdr>
                <w:top w:val="nil"/>
                <w:left w:val="nil"/>
                <w:bottom w:val="nil"/>
                <w:right w:val="nil"/>
                <w:between w:val="nil"/>
              </w:pBdr>
              <w:spacing w:line="240" w:lineRule="auto"/>
              <w:jc w:val="center"/>
              <w:rPr>
                <w:color w:val="000000"/>
              </w:rPr>
            </w:pPr>
          </w:p>
        </w:tc>
      </w:tr>
      <w:tr w:rsidR="00292268" w14:paraId="19540EE6" w14:textId="77777777">
        <w:trPr>
          <w:trHeight w:val="355"/>
        </w:trPr>
        <w:tc>
          <w:tcPr>
            <w:tcW w:w="2909" w:type="dxa"/>
            <w:shd w:val="clear" w:color="auto" w:fill="F2F2F2"/>
            <w:vAlign w:val="center"/>
          </w:tcPr>
          <w:p w14:paraId="3E46DBBD" w14:textId="77777777" w:rsidR="00292268" w:rsidRDefault="00E23837">
            <w:pPr>
              <w:pBdr>
                <w:top w:val="nil"/>
                <w:left w:val="nil"/>
                <w:bottom w:val="nil"/>
                <w:right w:val="nil"/>
                <w:between w:val="nil"/>
              </w:pBdr>
              <w:spacing w:line="240" w:lineRule="auto"/>
              <w:jc w:val="right"/>
              <w:rPr>
                <w:color w:val="000000"/>
              </w:rPr>
            </w:pPr>
            <w:r>
              <w:rPr>
                <w:color w:val="000000"/>
              </w:rPr>
              <w:t xml:space="preserve"> Cover letter or Statement of Interest</w:t>
            </w:r>
          </w:p>
        </w:tc>
        <w:tc>
          <w:tcPr>
            <w:tcW w:w="1145" w:type="dxa"/>
            <w:vAlign w:val="center"/>
          </w:tcPr>
          <w:p w14:paraId="3F68AC10" w14:textId="77777777" w:rsidR="00292268" w:rsidRDefault="00E23837">
            <w:pPr>
              <w:pBdr>
                <w:top w:val="nil"/>
                <w:left w:val="nil"/>
                <w:bottom w:val="nil"/>
                <w:right w:val="nil"/>
                <w:between w:val="nil"/>
              </w:pBdr>
              <w:spacing w:line="240" w:lineRule="auto"/>
              <w:jc w:val="center"/>
              <w:rPr>
                <w:color w:val="000000"/>
              </w:rPr>
            </w:pPr>
            <w:r>
              <w:rPr>
                <w:color w:val="000000"/>
              </w:rPr>
              <w:t>10</w:t>
            </w:r>
          </w:p>
        </w:tc>
        <w:tc>
          <w:tcPr>
            <w:tcW w:w="1041" w:type="dxa"/>
            <w:vAlign w:val="center"/>
          </w:tcPr>
          <w:p w14:paraId="2D9DC9D0" w14:textId="77777777" w:rsidR="00292268" w:rsidRDefault="00292268">
            <w:pPr>
              <w:pBdr>
                <w:top w:val="nil"/>
                <w:left w:val="nil"/>
                <w:bottom w:val="nil"/>
                <w:right w:val="nil"/>
                <w:between w:val="nil"/>
              </w:pBdr>
              <w:spacing w:line="240" w:lineRule="auto"/>
              <w:jc w:val="center"/>
              <w:rPr>
                <w:color w:val="000000"/>
              </w:rPr>
            </w:pPr>
          </w:p>
        </w:tc>
      </w:tr>
      <w:tr w:rsidR="00292268" w14:paraId="5432B7ED" w14:textId="77777777">
        <w:trPr>
          <w:trHeight w:val="355"/>
        </w:trPr>
        <w:tc>
          <w:tcPr>
            <w:tcW w:w="2909" w:type="dxa"/>
            <w:shd w:val="clear" w:color="auto" w:fill="F2F2F2"/>
            <w:vAlign w:val="center"/>
          </w:tcPr>
          <w:p w14:paraId="48CC5B54" w14:textId="77777777" w:rsidR="00292268" w:rsidRDefault="00E23837">
            <w:pPr>
              <w:pBdr>
                <w:top w:val="nil"/>
                <w:left w:val="nil"/>
                <w:bottom w:val="nil"/>
                <w:right w:val="nil"/>
                <w:between w:val="nil"/>
              </w:pBdr>
              <w:spacing w:line="240" w:lineRule="auto"/>
              <w:jc w:val="right"/>
              <w:rPr>
                <w:color w:val="000000"/>
              </w:rPr>
            </w:pPr>
            <w:r>
              <w:rPr>
                <w:color w:val="000000"/>
              </w:rPr>
              <w:t>Textual Edits</w:t>
            </w:r>
          </w:p>
        </w:tc>
        <w:tc>
          <w:tcPr>
            <w:tcW w:w="1145" w:type="dxa"/>
            <w:vAlign w:val="center"/>
          </w:tcPr>
          <w:p w14:paraId="62D8942F" w14:textId="77777777" w:rsidR="00292268" w:rsidRDefault="00E23837">
            <w:pPr>
              <w:pBdr>
                <w:top w:val="nil"/>
                <w:left w:val="nil"/>
                <w:bottom w:val="nil"/>
                <w:right w:val="nil"/>
                <w:between w:val="nil"/>
              </w:pBdr>
              <w:spacing w:line="240" w:lineRule="auto"/>
              <w:jc w:val="center"/>
              <w:rPr>
                <w:color w:val="000000"/>
              </w:rPr>
            </w:pPr>
            <w:r>
              <w:rPr>
                <w:color w:val="000000"/>
              </w:rPr>
              <w:t>30</w:t>
            </w:r>
          </w:p>
        </w:tc>
        <w:tc>
          <w:tcPr>
            <w:tcW w:w="1041" w:type="dxa"/>
            <w:vAlign w:val="center"/>
          </w:tcPr>
          <w:p w14:paraId="29B9B3C8" w14:textId="77777777" w:rsidR="00292268" w:rsidRDefault="00292268">
            <w:pPr>
              <w:pBdr>
                <w:top w:val="nil"/>
                <w:left w:val="nil"/>
                <w:bottom w:val="nil"/>
                <w:right w:val="nil"/>
                <w:between w:val="nil"/>
              </w:pBdr>
              <w:spacing w:line="240" w:lineRule="auto"/>
              <w:jc w:val="center"/>
              <w:rPr>
                <w:color w:val="000000"/>
              </w:rPr>
            </w:pPr>
          </w:p>
        </w:tc>
      </w:tr>
      <w:tr w:rsidR="00292268" w14:paraId="11411313" w14:textId="77777777">
        <w:trPr>
          <w:trHeight w:val="380"/>
        </w:trPr>
        <w:tc>
          <w:tcPr>
            <w:tcW w:w="2909" w:type="dxa"/>
            <w:shd w:val="clear" w:color="auto" w:fill="F2F2F2"/>
            <w:vAlign w:val="center"/>
          </w:tcPr>
          <w:p w14:paraId="38C6E8BF" w14:textId="77777777" w:rsidR="00292268" w:rsidRDefault="00E23837">
            <w:pPr>
              <w:pBdr>
                <w:top w:val="nil"/>
                <w:left w:val="nil"/>
                <w:bottom w:val="nil"/>
                <w:right w:val="nil"/>
                <w:between w:val="nil"/>
              </w:pBdr>
              <w:spacing w:line="240" w:lineRule="auto"/>
              <w:jc w:val="right"/>
              <w:rPr>
                <w:color w:val="000000"/>
              </w:rPr>
            </w:pPr>
            <w:r>
              <w:rPr>
                <w:i/>
                <w:color w:val="000000"/>
              </w:rPr>
              <w:t>Bluebook</w:t>
            </w:r>
            <w:r>
              <w:rPr>
                <w:color w:val="000000"/>
              </w:rPr>
              <w:t xml:space="preserve"> Corrections</w:t>
            </w:r>
          </w:p>
        </w:tc>
        <w:tc>
          <w:tcPr>
            <w:tcW w:w="1145" w:type="dxa"/>
            <w:vAlign w:val="center"/>
          </w:tcPr>
          <w:p w14:paraId="41DBC592" w14:textId="77777777" w:rsidR="00292268" w:rsidRDefault="00E23837">
            <w:pPr>
              <w:pBdr>
                <w:top w:val="nil"/>
                <w:left w:val="nil"/>
                <w:bottom w:val="nil"/>
                <w:right w:val="nil"/>
                <w:between w:val="nil"/>
              </w:pBdr>
              <w:spacing w:line="240" w:lineRule="auto"/>
              <w:jc w:val="center"/>
              <w:rPr>
                <w:color w:val="000000"/>
              </w:rPr>
            </w:pPr>
            <w:r>
              <w:t>88</w:t>
            </w:r>
          </w:p>
        </w:tc>
        <w:tc>
          <w:tcPr>
            <w:tcW w:w="1041" w:type="dxa"/>
            <w:vAlign w:val="center"/>
          </w:tcPr>
          <w:p w14:paraId="2737583E" w14:textId="77777777" w:rsidR="00292268" w:rsidRDefault="00292268">
            <w:pPr>
              <w:pBdr>
                <w:top w:val="nil"/>
                <w:left w:val="nil"/>
                <w:bottom w:val="nil"/>
                <w:right w:val="nil"/>
                <w:between w:val="nil"/>
              </w:pBdr>
              <w:spacing w:line="240" w:lineRule="auto"/>
              <w:jc w:val="center"/>
              <w:rPr>
                <w:color w:val="000000"/>
              </w:rPr>
            </w:pPr>
          </w:p>
        </w:tc>
      </w:tr>
      <w:tr w:rsidR="00292268" w14:paraId="251D8FDF" w14:textId="77777777">
        <w:trPr>
          <w:trHeight w:val="355"/>
        </w:trPr>
        <w:tc>
          <w:tcPr>
            <w:tcW w:w="2909" w:type="dxa"/>
            <w:shd w:val="clear" w:color="auto" w:fill="D9D9D9"/>
            <w:vAlign w:val="center"/>
          </w:tcPr>
          <w:p w14:paraId="08857D7F" w14:textId="77777777" w:rsidR="00292268" w:rsidRDefault="00E23837">
            <w:pPr>
              <w:pBdr>
                <w:top w:val="nil"/>
                <w:left w:val="nil"/>
                <w:bottom w:val="nil"/>
                <w:right w:val="nil"/>
                <w:between w:val="nil"/>
              </w:pBdr>
              <w:spacing w:line="240" w:lineRule="auto"/>
              <w:jc w:val="center"/>
              <w:rPr>
                <w:b/>
                <w:color w:val="000000"/>
              </w:rPr>
            </w:pPr>
            <w:r>
              <w:rPr>
                <w:b/>
                <w:color w:val="000000"/>
              </w:rPr>
              <w:t>Total</w:t>
            </w:r>
          </w:p>
        </w:tc>
        <w:tc>
          <w:tcPr>
            <w:tcW w:w="1145" w:type="dxa"/>
            <w:shd w:val="clear" w:color="auto" w:fill="D9D9D9"/>
            <w:vAlign w:val="center"/>
          </w:tcPr>
          <w:p w14:paraId="042C3075" w14:textId="77777777" w:rsidR="00292268" w:rsidRDefault="00E23837">
            <w:pPr>
              <w:pBdr>
                <w:top w:val="nil"/>
                <w:left w:val="nil"/>
                <w:bottom w:val="nil"/>
                <w:right w:val="nil"/>
                <w:between w:val="nil"/>
              </w:pBdr>
              <w:spacing w:line="240" w:lineRule="auto"/>
              <w:jc w:val="center"/>
              <w:rPr>
                <w:color w:val="000000"/>
              </w:rPr>
            </w:pPr>
            <w:r>
              <w:t>138</w:t>
            </w:r>
          </w:p>
        </w:tc>
        <w:tc>
          <w:tcPr>
            <w:tcW w:w="1041" w:type="dxa"/>
            <w:shd w:val="clear" w:color="auto" w:fill="D9D9D9"/>
            <w:vAlign w:val="center"/>
          </w:tcPr>
          <w:p w14:paraId="2E4B9846" w14:textId="77777777" w:rsidR="00292268" w:rsidRDefault="00292268">
            <w:pPr>
              <w:pBdr>
                <w:top w:val="nil"/>
                <w:left w:val="nil"/>
                <w:bottom w:val="nil"/>
                <w:right w:val="nil"/>
                <w:between w:val="nil"/>
              </w:pBdr>
              <w:spacing w:line="240" w:lineRule="auto"/>
              <w:jc w:val="center"/>
              <w:rPr>
                <w:color w:val="000000"/>
              </w:rPr>
            </w:pPr>
          </w:p>
        </w:tc>
      </w:tr>
    </w:tbl>
    <w:p w14:paraId="7A251AB3" w14:textId="77777777" w:rsidR="00292268" w:rsidRDefault="00292268">
      <w:pPr>
        <w:pBdr>
          <w:top w:val="nil"/>
          <w:left w:val="nil"/>
          <w:bottom w:val="nil"/>
          <w:right w:val="nil"/>
          <w:between w:val="nil"/>
        </w:pBdr>
        <w:spacing w:after="120" w:line="240" w:lineRule="auto"/>
        <w:jc w:val="center"/>
        <w:rPr>
          <w:b/>
          <w:color w:val="000000"/>
        </w:rPr>
      </w:pPr>
    </w:p>
    <w:p w14:paraId="7C7E4A2C" w14:textId="77777777" w:rsidR="00292268" w:rsidRDefault="00E23837">
      <w:pPr>
        <w:pBdr>
          <w:top w:val="nil"/>
          <w:left w:val="nil"/>
          <w:bottom w:val="nil"/>
          <w:right w:val="nil"/>
          <w:between w:val="nil"/>
        </w:pBdr>
        <w:spacing w:after="120" w:line="240" w:lineRule="auto"/>
        <w:jc w:val="center"/>
        <w:rPr>
          <w:b/>
          <w:color w:val="000000"/>
        </w:rPr>
      </w:pPr>
      <w:r>
        <w:rPr>
          <w:b/>
          <w:color w:val="000000"/>
        </w:rPr>
        <w:lastRenderedPageBreak/>
        <w:t>ASSOCIATE EXAM INSTRUCTIONS</w:t>
      </w:r>
    </w:p>
    <w:p w14:paraId="13F071A6" w14:textId="77777777" w:rsidR="00292268" w:rsidRDefault="00292268">
      <w:pPr>
        <w:pBdr>
          <w:top w:val="nil"/>
          <w:left w:val="nil"/>
          <w:bottom w:val="nil"/>
          <w:right w:val="nil"/>
          <w:between w:val="nil"/>
        </w:pBdr>
        <w:spacing w:after="120" w:line="240" w:lineRule="auto"/>
        <w:jc w:val="center"/>
        <w:rPr>
          <w:color w:val="000000"/>
        </w:rPr>
      </w:pPr>
    </w:p>
    <w:p w14:paraId="0A44A3EE" w14:textId="77777777" w:rsidR="00292268" w:rsidRDefault="00E23837">
      <w:pPr>
        <w:spacing w:after="240" w:line="240" w:lineRule="auto"/>
      </w:pPr>
      <w:r>
        <w:t>Edit the following passage for grammar and punctuation (the “</w:t>
      </w:r>
      <w:r>
        <w:rPr>
          <w:b/>
        </w:rPr>
        <w:t>Textual Edits</w:t>
      </w:r>
      <w:r>
        <w:t xml:space="preserve">”). Make your edits in colored ink on the pages of the article.  A guide to proofreading and copyediting symbols can be found </w:t>
      </w:r>
      <w:hyperlink r:id="rId16">
        <w:r>
          <w:rPr>
            <w:color w:val="0563C1"/>
            <w:u w:val="single"/>
          </w:rPr>
          <w:t>here</w:t>
        </w:r>
      </w:hyperlink>
      <w:r>
        <w:t xml:space="preserve">. </w:t>
      </w:r>
    </w:p>
    <w:p w14:paraId="0651A4E6" w14:textId="77777777" w:rsidR="00292268" w:rsidRDefault="00E23837">
      <w:pPr>
        <w:spacing w:after="240" w:line="240" w:lineRule="auto"/>
      </w:pPr>
      <w:r>
        <w:t>T</w:t>
      </w:r>
      <w:r>
        <w:rPr>
          <w:color w:val="000000"/>
        </w:rPr>
        <w:t>ype the corrected footnotes in a separate document (the “</w:t>
      </w:r>
      <w:r>
        <w:rPr>
          <w:b/>
          <w:i/>
          <w:color w:val="000000"/>
        </w:rPr>
        <w:t>Bluebook</w:t>
      </w:r>
      <w:r>
        <w:rPr>
          <w:b/>
          <w:color w:val="000000"/>
        </w:rPr>
        <w:t xml:space="preserve"> Corrections</w:t>
      </w:r>
      <w:r>
        <w:rPr>
          <w:color w:val="000000"/>
        </w:rPr>
        <w:t>”).  Corrections should be made in accordance with The Bluebook: A Uniform System of Citation, 21st Edition.</w:t>
      </w:r>
    </w:p>
    <w:p w14:paraId="052FD151" w14:textId="77777777" w:rsidR="00292268" w:rsidRDefault="00E23837">
      <w:pPr>
        <w:pBdr>
          <w:top w:val="nil"/>
          <w:left w:val="nil"/>
          <w:bottom w:val="nil"/>
          <w:right w:val="nil"/>
          <w:between w:val="nil"/>
        </w:pBdr>
        <w:spacing w:after="240" w:line="240" w:lineRule="auto"/>
        <w:rPr>
          <w:color w:val="000000"/>
        </w:rPr>
      </w:pPr>
      <w:r>
        <w:rPr>
          <w:color w:val="000000"/>
        </w:rPr>
        <w:t>For the purposes of this exam, assume that all footnote sources support all statements in the text.</w:t>
      </w:r>
    </w:p>
    <w:p w14:paraId="167DC807" w14:textId="77777777" w:rsidR="00292268" w:rsidRDefault="00E23837">
      <w:pPr>
        <w:pBdr>
          <w:top w:val="nil"/>
          <w:left w:val="nil"/>
          <w:bottom w:val="nil"/>
          <w:right w:val="nil"/>
          <w:between w:val="nil"/>
        </w:pBdr>
        <w:spacing w:after="240" w:line="240" w:lineRule="auto"/>
        <w:rPr>
          <w:color w:val="000000"/>
        </w:rPr>
      </w:pPr>
      <w:r>
        <w:rPr>
          <w:color w:val="000000"/>
        </w:rPr>
        <w:t>Grading:</w:t>
      </w:r>
    </w:p>
    <w:p w14:paraId="726F5F79" w14:textId="77777777" w:rsidR="00292268" w:rsidRDefault="00E23837">
      <w:pPr>
        <w:pBdr>
          <w:top w:val="nil"/>
          <w:left w:val="nil"/>
          <w:bottom w:val="nil"/>
          <w:right w:val="nil"/>
          <w:between w:val="nil"/>
        </w:pBdr>
        <w:spacing w:after="240" w:line="240" w:lineRule="auto"/>
        <w:ind w:left="720"/>
        <w:rPr>
          <w:color w:val="000000"/>
        </w:rPr>
      </w:pPr>
      <w:r>
        <w:rPr>
          <w:color w:val="000000"/>
        </w:rPr>
        <w:t xml:space="preserve">One point will be awarded for each correct change. </w:t>
      </w:r>
    </w:p>
    <w:p w14:paraId="35AEA83B" w14:textId="77777777" w:rsidR="00292268" w:rsidRDefault="00E23837">
      <w:pPr>
        <w:pBdr>
          <w:top w:val="nil"/>
          <w:left w:val="nil"/>
          <w:bottom w:val="nil"/>
          <w:right w:val="nil"/>
          <w:between w:val="nil"/>
        </w:pBdr>
        <w:spacing w:after="240" w:line="240" w:lineRule="auto"/>
        <w:ind w:left="720"/>
        <w:rPr>
          <w:color w:val="000000"/>
        </w:rPr>
      </w:pPr>
      <w:r>
        <w:rPr>
          <w:color w:val="000000"/>
        </w:rPr>
        <w:t>One point will be deducted for each unnecessary change.</w:t>
      </w:r>
    </w:p>
    <w:p w14:paraId="0878C245" w14:textId="77777777" w:rsidR="00292268" w:rsidRDefault="00E23837">
      <w:pPr>
        <w:pBdr>
          <w:top w:val="nil"/>
          <w:left w:val="nil"/>
          <w:bottom w:val="nil"/>
          <w:right w:val="nil"/>
          <w:between w:val="nil"/>
        </w:pBdr>
        <w:spacing w:after="240" w:line="240" w:lineRule="auto"/>
        <w:rPr>
          <w:color w:val="000000"/>
        </w:rPr>
        <w:sectPr w:rsidR="00292268">
          <w:pgSz w:w="12240" w:h="15840"/>
          <w:pgMar w:top="1440" w:right="1440" w:bottom="1440" w:left="1440" w:header="720" w:footer="720" w:gutter="0"/>
          <w:cols w:space="720"/>
        </w:sectPr>
      </w:pPr>
      <w:r>
        <w:rPr>
          <w:color w:val="000000"/>
        </w:rPr>
        <w:t xml:space="preserve">Disclaimer: This text is adapted from a previously published article and the University at Buffalo asserts no copyright in the following work. A citation to the original work will be provided, upon request, at the close of the application period.  </w:t>
      </w:r>
    </w:p>
    <w:p w14:paraId="1BC17496" w14:textId="77777777" w:rsidR="00292268" w:rsidRDefault="00E23837">
      <w:pPr>
        <w:spacing w:before="240" w:line="360" w:lineRule="auto"/>
        <w:ind w:firstLine="360"/>
        <w:rPr>
          <w:rFonts w:ascii="Century Gothic" w:eastAsia="Century Gothic" w:hAnsi="Century Gothic" w:cs="Century Gothic"/>
        </w:rPr>
      </w:pPr>
      <w:r>
        <w:lastRenderedPageBreak/>
        <w:t xml:space="preserve">Climate change increasingly poses humanitarian concerns for the international </w:t>
      </w:r>
      <w:proofErr w:type="spellStart"/>
      <w:r>
        <w:t>comunity</w:t>
      </w:r>
      <w:proofErr w:type="spellEnd"/>
      <w:r>
        <w:t>.</w:t>
      </w:r>
      <w:r>
        <w:rPr>
          <w:vertAlign w:val="superscript"/>
        </w:rPr>
        <w:footnoteReference w:id="1"/>
      </w:r>
      <w:r>
        <w:t xml:space="preserve"> Populations that rely on the environment for survival are the most vulnerable to environmental degradation and often the least able to adopt to climate changes.</w:t>
      </w:r>
      <w:r>
        <w:rPr>
          <w:vertAlign w:val="superscript"/>
        </w:rPr>
        <w:footnoteReference w:id="2"/>
      </w:r>
      <w:r>
        <w:t xml:space="preserve"> Large numbers of “climate change refugees from across the globe has already migrated or been displaced from natural disasters and climate changes.</w:t>
      </w:r>
      <w:r>
        <w:rPr>
          <w:vertAlign w:val="superscript"/>
        </w:rPr>
        <w:footnoteReference w:id="3"/>
      </w:r>
      <w:r>
        <w:t xml:space="preserve"> Projections of increasing internal and international human migration are </w:t>
      </w:r>
      <w:proofErr w:type="spellStart"/>
      <w:r>
        <w:t>are</w:t>
      </w:r>
      <w:proofErr w:type="spellEnd"/>
      <w:r>
        <w:t xml:space="preserve"> staggering.</w:t>
      </w:r>
      <w:r>
        <w:rPr>
          <w:vertAlign w:val="superscript"/>
        </w:rPr>
        <w:footnoteReference w:id="4"/>
      </w:r>
      <w:r>
        <w:t xml:space="preserve"> “This reality raises not only profound justice questions, but also geopolitical, national security, and economic ones. As places becomes unlivable, climate change refugees will increase, as will the risk of armed conflict in some of the most impacted areas”</w:t>
      </w:r>
      <w:r>
        <w:rPr>
          <w:vertAlign w:val="superscript"/>
        </w:rPr>
        <w:footnoteReference w:id="5"/>
      </w:r>
      <w:r>
        <w:t xml:space="preserve"> </w:t>
      </w:r>
    </w:p>
    <w:p w14:paraId="67A255B6" w14:textId="77777777" w:rsidR="00292268" w:rsidRDefault="00E23837">
      <w:pPr>
        <w:spacing w:before="240" w:line="360" w:lineRule="auto"/>
        <w:ind w:firstLine="360"/>
        <w:rPr>
          <w:rFonts w:ascii="Century Gothic" w:eastAsia="Century Gothic" w:hAnsi="Century Gothic" w:cs="Century Gothic"/>
        </w:rPr>
      </w:pPr>
      <w:bookmarkStart w:id="1" w:name="_heading=h.30j0zll" w:colFirst="0" w:colLast="0"/>
      <w:bookmarkEnd w:id="1"/>
      <w:r>
        <w:t xml:space="preserve">Scholars </w:t>
      </w:r>
      <w:proofErr w:type="gramStart"/>
      <w:r>
        <w:t>primary</w:t>
      </w:r>
      <w:proofErr w:type="gramEnd"/>
      <w:r>
        <w:t xml:space="preserve"> discuss planned relocation and climate change refuge, both proactive and reactive, as a climate change adaptation strategy for least developed countries (LDCs) and small island developing states (SIDS).</w:t>
      </w:r>
      <w:r>
        <w:rPr>
          <w:vertAlign w:val="superscript"/>
        </w:rPr>
        <w:footnoteReference w:id="6"/>
      </w:r>
      <w:r>
        <w:t xml:space="preserve"> However there is growing concern about the </w:t>
      </w:r>
      <w:proofErr w:type="spellStart"/>
      <w:r>
        <w:t>sufficency</w:t>
      </w:r>
      <w:proofErr w:type="spellEnd"/>
      <w:r>
        <w:rPr>
          <w:color w:val="C00000"/>
        </w:rPr>
        <w:t xml:space="preserve"> </w:t>
      </w:r>
      <w:r>
        <w:t>of legal structures at the international level and in developed nations receiving climate change refugees.</w:t>
      </w:r>
      <w:r>
        <w:rPr>
          <w:vertAlign w:val="superscript"/>
        </w:rPr>
        <w:footnoteReference w:id="7"/>
      </w:r>
      <w:r>
        <w:t xml:space="preserve"> Scholars propose independent conventions and domestic legislative amendment.</w:t>
      </w:r>
      <w:r>
        <w:rPr>
          <w:vertAlign w:val="superscript"/>
        </w:rPr>
        <w:footnoteReference w:id="8"/>
      </w:r>
    </w:p>
    <w:p w14:paraId="59BF224C" w14:textId="77777777" w:rsidR="00292268" w:rsidRDefault="00E23837">
      <w:pPr>
        <w:spacing w:before="240" w:line="360" w:lineRule="auto"/>
        <w:ind w:firstLine="360"/>
        <w:rPr>
          <w:rFonts w:ascii="Century Gothic" w:eastAsia="Century Gothic" w:hAnsi="Century Gothic" w:cs="Century Gothic"/>
        </w:rPr>
      </w:pPr>
      <w:r>
        <w:t xml:space="preserve">This paper proposes legal flexibility as a climate change adaptation strategy for the </w:t>
      </w:r>
      <w:proofErr w:type="gramStart"/>
      <w:r>
        <w:t>united states</w:t>
      </w:r>
      <w:proofErr w:type="gramEnd"/>
      <w:r>
        <w:t xml:space="preserve">. Proactively creating sufficient legal structures that will protect the rights of those forced to relocate as a result of climate changes, while protecting the economic and national security </w:t>
      </w:r>
    </w:p>
    <w:p w14:paraId="1493AF21" w14:textId="77777777" w:rsidR="00292268" w:rsidRDefault="00E23837">
      <w:pPr>
        <w:spacing w:line="360" w:lineRule="auto"/>
      </w:pPr>
      <w:r>
        <w:t>interests of the United States,</w:t>
      </w:r>
      <w:r>
        <w:rPr>
          <w:sz w:val="16"/>
          <w:szCs w:val="16"/>
        </w:rPr>
        <w:t xml:space="preserve"> </w:t>
      </w:r>
      <w:r>
        <w:t>is a</w:t>
      </w:r>
      <w:r>
        <w:rPr>
          <w:sz w:val="18"/>
          <w:szCs w:val="18"/>
        </w:rPr>
        <w:t xml:space="preserve"> </w:t>
      </w:r>
      <w:r>
        <w:t>necessary element of a</w:t>
      </w:r>
      <w:r>
        <w:rPr>
          <w:sz w:val="16"/>
          <w:szCs w:val="16"/>
        </w:rPr>
        <w:t xml:space="preserve"> </w:t>
      </w:r>
      <w:r>
        <w:t>National</w:t>
      </w:r>
      <w:r>
        <w:rPr>
          <w:b/>
          <w:color w:val="C00000"/>
        </w:rPr>
        <w:t xml:space="preserve"> </w:t>
      </w:r>
      <w:r>
        <w:t>adaptation</w:t>
      </w:r>
      <w:r>
        <w:rPr>
          <w:color w:val="C00000"/>
        </w:rPr>
        <w:t xml:space="preserve"> </w:t>
      </w:r>
      <w:r>
        <w:t>plan.</w:t>
      </w:r>
      <w:r>
        <w:rPr>
          <w:vertAlign w:val="superscript"/>
        </w:rPr>
        <w:footnoteReference w:id="9"/>
      </w:r>
      <w:r>
        <w:rPr>
          <w:sz w:val="18"/>
          <w:szCs w:val="18"/>
        </w:rPr>
        <w:t xml:space="preserve"> </w:t>
      </w:r>
      <w:r>
        <w:t>Regardless</w:t>
      </w:r>
      <w:r>
        <w:rPr>
          <w:sz w:val="20"/>
          <w:szCs w:val="20"/>
        </w:rPr>
        <w:t xml:space="preserve"> </w:t>
      </w:r>
      <w:r>
        <w:t xml:space="preserve">of the growing momentum around recognizing human mobility in the United Nations Framework </w:t>
      </w:r>
      <w:r>
        <w:lastRenderedPageBreak/>
        <w:t>Convention on Climate Change and recent progress in Paris; the United States should take measures to recognize international and internal</w:t>
      </w:r>
      <w:r>
        <w:rPr>
          <w:sz w:val="18"/>
          <w:szCs w:val="18"/>
        </w:rPr>
        <w:t xml:space="preserve"> </w:t>
      </w:r>
      <w:r>
        <w:t>climate migrants.</w:t>
      </w:r>
      <w:r>
        <w:rPr>
          <w:vertAlign w:val="superscript"/>
        </w:rPr>
        <w:footnoteReference w:id="10"/>
      </w:r>
      <w:r>
        <w:rPr>
          <w:sz w:val="18"/>
          <w:szCs w:val="18"/>
        </w:rPr>
        <w:t xml:space="preserve"> </w:t>
      </w:r>
      <w:r>
        <w:t>The Intergovernmental panel</w:t>
      </w:r>
      <w:r>
        <w:rPr>
          <w:color w:val="C00000"/>
        </w:rPr>
        <w:t xml:space="preserve"> </w:t>
      </w:r>
      <w:r>
        <w:t>on Climate Change (IPCC)’s most recent report to policy-makers warns that greenhouse gas emissions are at a historical high and clearly influence the climate system.</w:t>
      </w:r>
      <w:r>
        <w:rPr>
          <w:vertAlign w:val="superscript"/>
        </w:rPr>
        <w:footnoteReference w:id="11"/>
      </w:r>
      <w:r>
        <w:t xml:space="preserve"> Climate changes already, and will continue, to have widespread impacts on human and natural systems.”</w:t>
      </w:r>
      <w:r>
        <w:rPr>
          <w:vertAlign w:val="superscript"/>
        </w:rPr>
        <w:footnoteReference w:id="12"/>
      </w:r>
      <w:r>
        <w:t xml:space="preserve"> The United Nations High Commissioner for</w:t>
      </w:r>
      <w:r>
        <w:rPr>
          <w:sz w:val="14"/>
          <w:szCs w:val="14"/>
        </w:rPr>
        <w:t xml:space="preserve"> </w:t>
      </w:r>
      <w:r>
        <w:t>Refugees</w:t>
      </w:r>
      <w:r>
        <w:rPr>
          <w:sz w:val="18"/>
          <w:szCs w:val="18"/>
        </w:rPr>
        <w:t xml:space="preserve"> </w:t>
      </w:r>
      <w:r>
        <w:t>(UNHCR), the united Nations’</w:t>
      </w:r>
      <w:r>
        <w:rPr>
          <w:sz w:val="14"/>
          <w:szCs w:val="14"/>
        </w:rPr>
        <w:t xml:space="preserve"> </w:t>
      </w:r>
      <w:r>
        <w:t>refugee</w:t>
      </w:r>
      <w:r>
        <w:rPr>
          <w:sz w:val="16"/>
          <w:szCs w:val="16"/>
        </w:rPr>
        <w:t xml:space="preserve"> </w:t>
      </w:r>
      <w:r>
        <w:t>agency, has growing concern about climate change and its humanitarian impacts on least developed countries (LDCs)</w:t>
      </w:r>
      <w:r>
        <w:rPr>
          <w:vertAlign w:val="superscript"/>
        </w:rPr>
        <w:footnoteReference w:id="13"/>
      </w:r>
      <w:r>
        <w:t xml:space="preserve"> LDC’s are “climate change hotspots,” where changes will “force people into increasing poverty and displacement, exacerbating the factors that lead to conflict.”</w:t>
      </w:r>
      <w:r>
        <w:rPr>
          <w:vertAlign w:val="superscript"/>
        </w:rPr>
        <w:footnoteReference w:id="14"/>
      </w:r>
      <w:r>
        <w:t xml:space="preserve"> Increasing climate</w:t>
      </w:r>
      <w:r>
        <w:rPr>
          <w:sz w:val="18"/>
          <w:szCs w:val="18"/>
        </w:rPr>
        <w:t xml:space="preserve"> </w:t>
      </w:r>
      <w:r>
        <w:t>change induced</w:t>
      </w:r>
      <w:r>
        <w:rPr>
          <w:sz w:val="16"/>
          <w:szCs w:val="16"/>
        </w:rPr>
        <w:t xml:space="preserve"> </w:t>
      </w:r>
      <w:r>
        <w:t>displacement poses a complex</w:t>
      </w:r>
      <w:r>
        <w:rPr>
          <w:sz w:val="18"/>
          <w:szCs w:val="18"/>
        </w:rPr>
        <w:t xml:space="preserve"> </w:t>
      </w:r>
      <w:r>
        <w:t>challenge for responding to</w:t>
      </w:r>
      <w:r>
        <w:rPr>
          <w:sz w:val="16"/>
          <w:szCs w:val="16"/>
        </w:rPr>
        <w:t xml:space="preserve"> </w:t>
      </w:r>
      <w:r>
        <w:rPr>
          <w:color w:val="000000"/>
        </w:rPr>
        <w:t>humanitarian</w:t>
      </w:r>
      <w:r>
        <w:t xml:space="preserve"> needs.</w:t>
      </w:r>
      <w:r>
        <w:rPr>
          <w:vertAlign w:val="superscript"/>
        </w:rPr>
        <w:footnoteReference w:id="15"/>
      </w:r>
      <w:r>
        <w:t xml:space="preserve"> </w:t>
      </w:r>
    </w:p>
    <w:p w14:paraId="00B23F96" w14:textId="77777777" w:rsidR="00292268" w:rsidRDefault="00292268">
      <w:pPr>
        <w:spacing w:line="360" w:lineRule="auto"/>
      </w:pPr>
    </w:p>
    <w:p w14:paraId="513E129E" w14:textId="77777777" w:rsidR="00292268" w:rsidRDefault="00E23837">
      <w:pPr>
        <w:spacing w:line="360" w:lineRule="auto"/>
        <w:ind w:firstLine="360"/>
        <w:rPr>
          <w:rFonts w:ascii="Century Gothic" w:eastAsia="Century Gothic" w:hAnsi="Century Gothic" w:cs="Century Gothic"/>
          <w:color w:val="000000"/>
        </w:rPr>
      </w:pPr>
      <w:r>
        <w:t xml:space="preserve">Post-industrial economic and population growth drive greenhouse gas (GHG) emissions, creating unprecedented atmospheric concentrations of </w:t>
      </w:r>
      <w:r>
        <w:rPr>
          <w:color w:val="000000"/>
        </w:rPr>
        <w:t xml:space="preserve">carbon-dioxide </w:t>
      </w:r>
      <w:r>
        <w:t>methane and nitrous oxide.</w:t>
      </w:r>
      <w:r>
        <w:rPr>
          <w:vertAlign w:val="superscript"/>
        </w:rPr>
        <w:footnoteReference w:id="16"/>
      </w:r>
      <w:r>
        <w:t xml:space="preserve"> GHG emissions and other anthropogenic forces are extremely likely to have been</w:t>
      </w:r>
      <w:r>
        <w:rPr>
          <w:color w:val="000000"/>
        </w:rPr>
        <w:t xml:space="preserve"> this</w:t>
      </w:r>
      <w:r>
        <w:rPr>
          <w:b/>
          <w:color w:val="000000"/>
        </w:rPr>
        <w:t xml:space="preserve"> </w:t>
      </w:r>
      <w:r>
        <w:t>leading cause of vast changes to the global climate system since the mid-20th century.</w:t>
      </w:r>
      <w:r>
        <w:rPr>
          <w:vertAlign w:val="superscript"/>
        </w:rPr>
        <w:footnoteReference w:id="17"/>
      </w:r>
      <w:r>
        <w:rPr>
          <w:color w:val="C00000"/>
        </w:rPr>
        <w:t xml:space="preserve"> </w:t>
      </w:r>
      <w:r>
        <w:rPr>
          <w:color w:val="000000"/>
        </w:rPr>
        <w:t xml:space="preserve">Earths </w:t>
      </w:r>
    </w:p>
    <w:p w14:paraId="555D08EC" w14:textId="77777777" w:rsidR="00292268" w:rsidRDefault="00E23837">
      <w:pPr>
        <w:rPr>
          <w:rFonts w:ascii="Century Gothic" w:eastAsia="Century Gothic" w:hAnsi="Century Gothic" w:cs="Century Gothic"/>
        </w:rPr>
      </w:pPr>
      <w:r>
        <w:br w:type="page"/>
      </w:r>
      <w:r>
        <w:lastRenderedPageBreak/>
        <w:t>atmosphere and ocean warming while snow and ice are diminishing. Combined land and ocean surface temperatures show a global average warming of 0.85C</w:t>
      </w:r>
      <w:r>
        <w:rPr>
          <w:color w:val="C00000"/>
        </w:rPr>
        <w:t xml:space="preserve"> </w:t>
      </w:r>
      <w:r>
        <w:t>from 1880 to 2012.</w:t>
      </w:r>
      <w:r>
        <w:rPr>
          <w:vertAlign w:val="superscript"/>
        </w:rPr>
        <w:footnoteReference w:id="18"/>
      </w:r>
      <w:r>
        <w:t xml:space="preserve"> </w:t>
      </w:r>
    </w:p>
    <w:p w14:paraId="6D2C1CA6" w14:textId="77777777" w:rsidR="00292268" w:rsidRDefault="00E23837">
      <w:pPr>
        <w:widowControl w:val="0"/>
        <w:tabs>
          <w:tab w:val="left" w:pos="2401"/>
          <w:tab w:val="left" w:pos="22065"/>
        </w:tabs>
        <w:spacing w:before="84"/>
        <w:rPr>
          <w:color w:val="080808"/>
        </w:rPr>
      </w:pPr>
      <w:r>
        <w:t xml:space="preserve">                The IPCC’s report also points out that “</w:t>
      </w:r>
      <w:r>
        <w:rPr>
          <w:color w:val="000000"/>
        </w:rPr>
        <w:t>each</w:t>
      </w:r>
      <w:r>
        <w:rPr>
          <w:color w:val="C00000"/>
        </w:rPr>
        <w:t xml:space="preserve"> </w:t>
      </w:r>
      <w:r>
        <w:t xml:space="preserve">of the last three decades has been successively warmer at the Earth’s surface than any preceding </w:t>
      </w:r>
      <w:r>
        <w:rPr>
          <w:color w:val="000000"/>
        </w:rPr>
        <w:t>decades</w:t>
      </w:r>
      <w:r>
        <w:rPr>
          <w:color w:val="C00000"/>
        </w:rPr>
        <w:t xml:space="preserve"> </w:t>
      </w:r>
      <w:r>
        <w:t>since 1850,” and the last 30 years are likely the warmest 30-year period the Northern Hemisphere has seen in the last 1400 years.</w:t>
      </w:r>
      <w:r>
        <w:rPr>
          <w:vertAlign w:val="superscript"/>
        </w:rPr>
        <w:footnoteReference w:id="19"/>
      </w:r>
      <w:r>
        <w:t xml:space="preserve"> Ocean surface waters (upper 75 m) have increased by 0.11°C per decade from 1971 to 2010, and it is ‘virtually certain” that the upper 700 m of ocean has warmed during the same period.</w:t>
      </w:r>
      <w:r>
        <w:rPr>
          <w:vertAlign w:val="superscript"/>
        </w:rPr>
        <w:footnoteReference w:id="20"/>
      </w:r>
      <w:r>
        <w:br/>
      </w:r>
      <w:r>
        <w:rPr>
          <w:sz w:val="22"/>
        </w:rPr>
        <w:br/>
      </w:r>
    </w:p>
    <w:p w14:paraId="5054011E" w14:textId="77777777" w:rsidR="00292268" w:rsidRDefault="00292268">
      <w:pPr>
        <w:pBdr>
          <w:top w:val="nil"/>
          <w:left w:val="nil"/>
          <w:bottom w:val="nil"/>
          <w:right w:val="nil"/>
          <w:between w:val="nil"/>
        </w:pBdr>
        <w:spacing w:after="120" w:line="444" w:lineRule="auto"/>
        <w:rPr>
          <w:color w:val="000000"/>
        </w:rPr>
      </w:pPr>
    </w:p>
    <w:sectPr w:rsidR="0029226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8B3E7" w14:textId="77777777" w:rsidR="00E23837" w:rsidRDefault="00E23837">
      <w:pPr>
        <w:spacing w:line="240" w:lineRule="auto"/>
      </w:pPr>
      <w:r>
        <w:separator/>
      </w:r>
    </w:p>
  </w:endnote>
  <w:endnote w:type="continuationSeparator" w:id="0">
    <w:p w14:paraId="21A61A00" w14:textId="77777777" w:rsidR="00E23837" w:rsidRDefault="00E238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E1B2E" w14:textId="77777777" w:rsidR="00292268" w:rsidRDefault="00E23837">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sidR="008B6EF8">
      <w:rPr>
        <w:color w:val="000000"/>
      </w:rPr>
      <w:fldChar w:fldCharType="separate"/>
    </w:r>
    <w:r>
      <w:rPr>
        <w:color w:val="000000"/>
      </w:rPr>
      <w:fldChar w:fldCharType="end"/>
    </w:r>
  </w:p>
  <w:p w14:paraId="759562D7" w14:textId="77777777" w:rsidR="00292268" w:rsidRDefault="00292268">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03E7" w14:textId="77777777" w:rsidR="00292268" w:rsidRDefault="00E23837">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D64167">
      <w:rPr>
        <w:noProof/>
        <w:color w:val="000000"/>
      </w:rPr>
      <w:t>2</w:t>
    </w:r>
    <w:r>
      <w:rPr>
        <w:color w:val="000000"/>
      </w:rPr>
      <w:fldChar w:fldCharType="end"/>
    </w:r>
  </w:p>
  <w:p w14:paraId="67FB93DA" w14:textId="77777777" w:rsidR="00292268" w:rsidRDefault="00292268">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B201D" w14:textId="77777777" w:rsidR="00E23837" w:rsidRDefault="00E23837">
      <w:pPr>
        <w:spacing w:line="240" w:lineRule="auto"/>
      </w:pPr>
      <w:r>
        <w:separator/>
      </w:r>
    </w:p>
  </w:footnote>
  <w:footnote w:type="continuationSeparator" w:id="0">
    <w:p w14:paraId="157B1803" w14:textId="77777777" w:rsidR="00E23837" w:rsidRDefault="00E23837">
      <w:pPr>
        <w:spacing w:line="240" w:lineRule="auto"/>
      </w:pPr>
      <w:r>
        <w:continuationSeparator/>
      </w:r>
    </w:p>
  </w:footnote>
  <w:footnote w:id="1">
    <w:p w14:paraId="07C9E32E" w14:textId="77777777" w:rsidR="00292268" w:rsidRDefault="00E23837">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Andrea C. Loux, The Persistence of the Ancient Regime: Custom, Utility, and the Common Law in the Nineteenth Century, 79 Cornell Law Review 183, 210-213 (1993).</w:t>
      </w:r>
    </w:p>
  </w:footnote>
  <w:footnote w:id="2">
    <w:p w14:paraId="671D1E2C" w14:textId="77777777" w:rsidR="00292268" w:rsidRDefault="00E23837">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Fed. R. Civil Proc. 56(b).</w:t>
      </w:r>
    </w:p>
  </w:footnote>
  <w:footnote w:id="3">
    <w:p w14:paraId="631B5C3E" w14:textId="77777777" w:rsidR="00292268" w:rsidRDefault="00E23837">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June Carabell, Keith Carabell &amp; Harvey Gordenker v. U.S. Army of Corps of Engineers, 391 Fed.3d 704, 709 (6th Circuit 2006)</w:t>
      </w:r>
    </w:p>
  </w:footnote>
  <w:footnote w:id="4">
    <w:p w14:paraId="2BAEA3B2" w14:textId="77777777" w:rsidR="00292268" w:rsidRDefault="00E23837">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Nate Silver, Why It's Hard to Score the Fiscal Deal, FiveThirtyEight Blog, New York Times (January 3, 2014, 1:45 p.m.), http://fivethirtyeight.blogs.nytimes.com/2014/01/02/why-its-hard-to­ score-the-fiscal-deal/.</w:t>
      </w:r>
    </w:p>
  </w:footnote>
  <w:footnote w:id="5">
    <w:p w14:paraId="65CAB017" w14:textId="77777777" w:rsidR="00292268" w:rsidRDefault="00E23837">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Hari M. Osofsky, McAllister, Leslie K., CLIMATE CHANGE LAW AND POLICY, page 378 (2012).</w:t>
      </w:r>
    </w:p>
  </w:footnote>
  <w:footnote w:id="6">
    <w:p w14:paraId="2BD246B0" w14:textId="77777777" w:rsidR="00292268" w:rsidRDefault="00E23837">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Connecticut Gen. Statute § 9-365, 2012.</w:t>
      </w:r>
    </w:p>
  </w:footnote>
  <w:footnote w:id="7">
    <w:p w14:paraId="3CEE89BB" w14:textId="77777777" w:rsidR="00292268" w:rsidRDefault="00E23837">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Alex Miller, Sugar Dating: A New Take on an Old Issue, 20 BUFF. J. GENDER, L. &amp; SOC. POL’Y 33, 34 (July 15 2012).</w:t>
      </w:r>
    </w:p>
    <w:bookmarkStart w:id="2" w:name="_heading=h.1fob9te" w:colFirst="0" w:colLast="0"/>
    <w:bookmarkEnd w:id="2"/>
  </w:footnote>
  <w:footnote w:id="8">
    <w:p w14:paraId="2626A2D4" w14:textId="77777777" w:rsidR="00292268" w:rsidRDefault="00E23837">
      <w:pPr>
        <w:pBdr>
          <w:top w:val="nil"/>
          <w:left w:val="nil"/>
          <w:bottom w:val="nil"/>
          <w:right w:val="nil"/>
          <w:between w:val="nil"/>
        </w:pBdr>
        <w:spacing w:line="240" w:lineRule="auto"/>
        <w:rPr>
          <w:color w:val="000000"/>
          <w:sz w:val="20"/>
          <w:szCs w:val="20"/>
        </w:rPr>
      </w:pPr>
      <w:bookmarkStart w:id="3" w:name="_heading=h.1fob9te" w:colFirst="0" w:colLast="0"/>
      <w:bookmarkEnd w:id="3"/>
      <w:r>
        <w:rPr>
          <w:rStyle w:val="FootnoteReference"/>
        </w:rPr>
        <w:footnoteRef/>
      </w:r>
      <w:r>
        <w:rPr>
          <w:color w:val="000000"/>
          <w:sz w:val="20"/>
          <w:szCs w:val="20"/>
        </w:rPr>
        <w:t xml:space="preserve"> Amy L. Kluesner, And They’re Off: Eliminating Drug Use in Thoroughbred Racing, 3 Harvard Journal of Sports and Entertainment Law 297, 308-310 (2012).</w:t>
      </w:r>
    </w:p>
    <w:p w14:paraId="334154F7" w14:textId="77777777" w:rsidR="00292268" w:rsidRDefault="00E23837">
      <w:pPr>
        <w:pBdr>
          <w:top w:val="nil"/>
          <w:left w:val="nil"/>
          <w:bottom w:val="nil"/>
          <w:right w:val="nil"/>
          <w:between w:val="nil"/>
        </w:pBdr>
        <w:spacing w:line="240" w:lineRule="auto"/>
        <w:rPr>
          <w:color w:val="000000"/>
          <w:sz w:val="20"/>
          <w:szCs w:val="20"/>
        </w:rPr>
      </w:pPr>
      <w:r>
        <w:rPr>
          <w:color w:val="000000"/>
          <w:sz w:val="20"/>
          <w:szCs w:val="20"/>
          <w:vertAlign w:val="superscript"/>
        </w:rPr>
        <w:t>9</w:t>
      </w:r>
      <w:r>
        <w:rPr>
          <w:color w:val="000000"/>
          <w:sz w:val="20"/>
          <w:szCs w:val="20"/>
        </w:rPr>
        <w:t xml:space="preserve"> Id.</w:t>
      </w:r>
    </w:p>
    <w:p w14:paraId="6C65592D" w14:textId="77777777" w:rsidR="00292268" w:rsidRDefault="00292268">
      <w:pPr>
        <w:pBdr>
          <w:top w:val="nil"/>
          <w:left w:val="nil"/>
          <w:bottom w:val="nil"/>
          <w:right w:val="nil"/>
          <w:between w:val="nil"/>
        </w:pBdr>
        <w:spacing w:line="240" w:lineRule="auto"/>
        <w:rPr>
          <w:b/>
          <w:color w:val="000000"/>
          <w:sz w:val="20"/>
          <w:szCs w:val="20"/>
        </w:rPr>
      </w:pPr>
    </w:p>
    <w:p w14:paraId="071AFE33" w14:textId="77777777" w:rsidR="00292268" w:rsidRDefault="00292268">
      <w:pPr>
        <w:pBdr>
          <w:top w:val="nil"/>
          <w:left w:val="nil"/>
          <w:bottom w:val="nil"/>
          <w:right w:val="nil"/>
          <w:between w:val="nil"/>
        </w:pBdr>
        <w:spacing w:line="240" w:lineRule="auto"/>
        <w:rPr>
          <w:color w:val="000000"/>
          <w:sz w:val="20"/>
          <w:szCs w:val="20"/>
        </w:rPr>
      </w:pPr>
    </w:p>
  </w:footnote>
  <w:footnote w:id="9">
    <w:p w14:paraId="31969EE7" w14:textId="77777777" w:rsidR="00292268" w:rsidRDefault="00E23837">
      <w:pPr>
        <w:pBdr>
          <w:top w:val="nil"/>
          <w:left w:val="nil"/>
          <w:bottom w:val="nil"/>
          <w:right w:val="nil"/>
          <w:between w:val="nil"/>
        </w:pBdr>
        <w:spacing w:line="240" w:lineRule="auto"/>
        <w:rPr>
          <w:color w:val="000000"/>
          <w:sz w:val="20"/>
          <w:szCs w:val="20"/>
        </w:rPr>
      </w:pPr>
      <w:r>
        <w:rPr>
          <w:rStyle w:val="FootnoteReference"/>
        </w:rPr>
        <w:footnoteRef/>
      </w:r>
    </w:p>
  </w:footnote>
  <w:footnote w:id="10">
    <w:p w14:paraId="7A5ADC7B" w14:textId="77777777" w:rsidR="00292268" w:rsidRDefault="00E23837">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Medtronic, Incorporated. v. Nuvasive, Incorporated, No. IPR2014-00073, Paper 31, at 4 (Patent Trial and Appeal Board October 3, 2014).</w:t>
      </w:r>
    </w:p>
  </w:footnote>
  <w:footnote w:id="11">
    <w:p w14:paraId="0AC94F5A" w14:textId="77777777" w:rsidR="00292268" w:rsidRDefault="00E23837">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Aluminum Scuba Tank Buoyancy Compensation System, US Patent Number 5,788,475 (filed November 5, 1996) (issued August 4, 1998).</w:t>
      </w:r>
    </w:p>
  </w:footnote>
  <w:footnote w:id="12">
    <w:p w14:paraId="67F5DC20" w14:textId="77777777" w:rsidR="00292268" w:rsidRDefault="00E23837">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Arnold W. Reitze, AIR POLLUTION CONTROL LAW: COMPLIANCE AND ENFORCEMENT, 316 (2001).</w:t>
      </w:r>
    </w:p>
  </w:footnote>
  <w:footnote w:id="13">
    <w:p w14:paraId="5E0AACD0" w14:textId="77777777" w:rsidR="00292268" w:rsidRDefault="00E23837">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w:t>
      </w:r>
    </w:p>
  </w:footnote>
  <w:footnote w:id="14">
    <w:p w14:paraId="5A9484B2" w14:textId="77777777" w:rsidR="00292268" w:rsidRDefault="00E23837">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Kluesner, supra 8, at 309.</w:t>
      </w:r>
    </w:p>
  </w:footnote>
  <w:footnote w:id="15">
    <w:p w14:paraId="0EB39867" w14:textId="77777777" w:rsidR="00292268" w:rsidRDefault="00E23837">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See Weissbrodt, David and Anti- Slavery International (2002) “Abolishing Slavery and its Contemporary Forms,” Office of the United Nations High Commissioner for Human Rights, United Nations, New York and Geneva p. 2, available at: http://www.ohchr.org/Documents/Publications/slaveryen.pdf.</w:t>
      </w:r>
    </w:p>
  </w:footnote>
  <w:footnote w:id="16">
    <w:p w14:paraId="1AEA64F0" w14:textId="77777777" w:rsidR="00292268" w:rsidRDefault="00E23837">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See Rep. of the Working Grp. On China U.N. Doc. A/HRC/11/25, at para.2. (29 May 2009). See: Article five of the ECHR, Council of Europe Treaty Series No. 5, 1950.</w:t>
      </w:r>
    </w:p>
  </w:footnote>
  <w:footnote w:id="17">
    <w:p w14:paraId="2D2F0389" w14:textId="77777777" w:rsidR="00292268" w:rsidRDefault="00E23837">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The Ruling (Jerusalem District Court) 6749/08/11 2013 State of Israel v D.A. and others, hereinafter: the Jerusalem Court Conviction.</w:t>
      </w:r>
    </w:p>
  </w:footnote>
  <w:footnote w:id="18">
    <w:p w14:paraId="7FA76905" w14:textId="77777777" w:rsidR="00292268" w:rsidRDefault="00E23837">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Johanna E. Bond, International Intersectionality: A Theoretical and Pragmatic Exploration of Women’s International Human Rights Violations. Vol. 52 EMORY LAW JOURNAL 71 (2003) pp. 157-158.</w:t>
      </w:r>
    </w:p>
  </w:footnote>
  <w:footnote w:id="19">
    <w:p w14:paraId="5474E53E" w14:textId="77777777" w:rsidR="00292268" w:rsidRDefault="00E23837">
      <w:pPr>
        <w:pBdr>
          <w:top w:val="nil"/>
          <w:left w:val="nil"/>
          <w:bottom w:val="nil"/>
          <w:right w:val="nil"/>
          <w:between w:val="nil"/>
        </w:pBdr>
        <w:spacing w:line="240" w:lineRule="auto"/>
        <w:rPr>
          <w:b/>
          <w:color w:val="000000"/>
          <w:sz w:val="20"/>
          <w:szCs w:val="20"/>
        </w:rPr>
      </w:pPr>
      <w:r>
        <w:rPr>
          <w:rStyle w:val="FootnoteReference"/>
        </w:rPr>
        <w:footnoteRef/>
      </w:r>
      <w:r>
        <w:rPr>
          <w:color w:val="000000"/>
          <w:sz w:val="20"/>
          <w:szCs w:val="20"/>
        </w:rPr>
        <w:t xml:space="preserve"> see e.g. UN COMMITTEE ON ECONOMIC, SOCIAL AND CULTURAL RIGHTS, General Comment 7, Forced evictions, and the right to adequate housing (Sixteenth session, 1997), U.N. Doc. E/1998/22, annex IV at 113 (20 May 1997), paras. 14 and 16.</w:t>
      </w:r>
    </w:p>
  </w:footnote>
  <w:footnote w:id="20">
    <w:p w14:paraId="238B6241" w14:textId="77777777" w:rsidR="00292268" w:rsidRDefault="00E23837">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See 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16115"/>
    <w:multiLevelType w:val="multilevel"/>
    <w:tmpl w:val="4F7EEE28"/>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5454AF"/>
    <w:multiLevelType w:val="multilevel"/>
    <w:tmpl w:val="2E6E7CA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B795395"/>
    <w:multiLevelType w:val="multilevel"/>
    <w:tmpl w:val="65003226"/>
    <w:lvl w:ilvl="0">
      <w:start w:val="1"/>
      <w:numFmt w:val="lowerLetter"/>
      <w:lvlText w:val="%1."/>
      <w:lvlJc w:val="left"/>
      <w:pPr>
        <w:ind w:left="1080" w:hanging="360"/>
      </w:pPr>
      <w:rPr>
        <w:rFonts w:ascii="Century Gothic" w:eastAsia="Century Gothic" w:hAnsi="Century Gothic" w:cs="Century Gothic"/>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960333323">
    <w:abstractNumId w:val="2"/>
  </w:num>
  <w:num w:numId="2" w16cid:durableId="739640912">
    <w:abstractNumId w:val="0"/>
  </w:num>
  <w:num w:numId="3" w16cid:durableId="2081126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268"/>
    <w:rsid w:val="00292268"/>
    <w:rsid w:val="008B6EF8"/>
    <w:rsid w:val="00D64167"/>
    <w:rsid w:val="00E23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3714B"/>
  <w15:docId w15:val="{73D9238F-A934-D64C-8309-35077418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75D"/>
    <w:rPr>
      <w:szCs w:val="22"/>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915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158F7"/>
    <w:pPr>
      <w:spacing w:before="100" w:beforeAutospacing="1" w:after="100" w:afterAutospacing="1" w:line="240" w:lineRule="auto"/>
    </w:pPr>
    <w:rPr>
      <w:szCs w:val="24"/>
    </w:rPr>
  </w:style>
  <w:style w:type="character" w:styleId="Hyperlink">
    <w:name w:val="Hyperlink"/>
    <w:basedOn w:val="DefaultParagraphFont"/>
    <w:uiPriority w:val="99"/>
    <w:unhideWhenUsed/>
    <w:rsid w:val="009158F7"/>
    <w:rPr>
      <w:color w:val="0563C1" w:themeColor="hyperlink"/>
      <w:u w:val="single"/>
    </w:rPr>
  </w:style>
  <w:style w:type="character" w:styleId="UnresolvedMention">
    <w:name w:val="Unresolved Mention"/>
    <w:basedOn w:val="DefaultParagraphFont"/>
    <w:uiPriority w:val="99"/>
    <w:rsid w:val="009158F7"/>
    <w:rPr>
      <w:color w:val="605E5C"/>
      <w:shd w:val="clear" w:color="auto" w:fill="E1DFDD"/>
    </w:rPr>
  </w:style>
  <w:style w:type="paragraph" w:styleId="BalloonText">
    <w:name w:val="Balloon Text"/>
    <w:basedOn w:val="Normal"/>
    <w:link w:val="BalloonTextChar"/>
    <w:uiPriority w:val="99"/>
    <w:semiHidden/>
    <w:unhideWhenUsed/>
    <w:rsid w:val="004F4B7A"/>
    <w:pPr>
      <w:spacing w:line="240" w:lineRule="auto"/>
    </w:pPr>
    <w:rPr>
      <w:sz w:val="18"/>
      <w:szCs w:val="18"/>
    </w:rPr>
  </w:style>
  <w:style w:type="character" w:customStyle="1" w:styleId="BalloonTextChar">
    <w:name w:val="Balloon Text Char"/>
    <w:basedOn w:val="DefaultParagraphFont"/>
    <w:link w:val="BalloonText"/>
    <w:uiPriority w:val="99"/>
    <w:semiHidden/>
    <w:rsid w:val="004F4B7A"/>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9F0F65"/>
    <w:pPr>
      <w:spacing w:line="240" w:lineRule="auto"/>
    </w:pPr>
    <w:rPr>
      <w:sz w:val="20"/>
      <w:szCs w:val="20"/>
    </w:rPr>
  </w:style>
  <w:style w:type="character" w:customStyle="1" w:styleId="FootnoteTextChar">
    <w:name w:val="Footnote Text Char"/>
    <w:basedOn w:val="DefaultParagraphFont"/>
    <w:link w:val="FootnoteText"/>
    <w:uiPriority w:val="99"/>
    <w:semiHidden/>
    <w:rsid w:val="009F0F65"/>
    <w:rPr>
      <w:rFonts w:ascii="Times New Roman" w:hAnsi="Times New Roman"/>
      <w:sz w:val="20"/>
      <w:szCs w:val="20"/>
    </w:rPr>
  </w:style>
  <w:style w:type="character" w:styleId="FootnoteReference">
    <w:name w:val="footnote reference"/>
    <w:basedOn w:val="DefaultParagraphFont"/>
    <w:uiPriority w:val="99"/>
    <w:semiHidden/>
    <w:unhideWhenUsed/>
    <w:rsid w:val="009F0F65"/>
    <w:rPr>
      <w:vertAlign w:val="superscript"/>
    </w:rPr>
  </w:style>
  <w:style w:type="character" w:styleId="FollowedHyperlink">
    <w:name w:val="FollowedHyperlink"/>
    <w:basedOn w:val="DefaultParagraphFont"/>
    <w:uiPriority w:val="99"/>
    <w:semiHidden/>
    <w:unhideWhenUsed/>
    <w:rsid w:val="009F0F65"/>
    <w:rPr>
      <w:color w:val="954F72" w:themeColor="followedHyperlink"/>
      <w:u w:val="single"/>
    </w:rPr>
  </w:style>
  <w:style w:type="paragraph" w:styleId="Footer">
    <w:name w:val="footer"/>
    <w:basedOn w:val="Normal"/>
    <w:link w:val="FooterChar"/>
    <w:uiPriority w:val="99"/>
    <w:unhideWhenUsed/>
    <w:rsid w:val="000C00EB"/>
    <w:pPr>
      <w:tabs>
        <w:tab w:val="center" w:pos="4680"/>
        <w:tab w:val="right" w:pos="9360"/>
      </w:tabs>
      <w:spacing w:line="240" w:lineRule="auto"/>
    </w:pPr>
  </w:style>
  <w:style w:type="character" w:customStyle="1" w:styleId="FooterChar">
    <w:name w:val="Footer Char"/>
    <w:basedOn w:val="DefaultParagraphFont"/>
    <w:link w:val="Footer"/>
    <w:uiPriority w:val="99"/>
    <w:rsid w:val="000C00EB"/>
    <w:rPr>
      <w:rFonts w:ascii="Times New Roman" w:hAnsi="Times New Roman"/>
      <w:szCs w:val="22"/>
    </w:rPr>
  </w:style>
  <w:style w:type="character" w:styleId="PageNumber">
    <w:name w:val="page number"/>
    <w:basedOn w:val="DefaultParagraphFont"/>
    <w:uiPriority w:val="99"/>
    <w:semiHidden/>
    <w:unhideWhenUsed/>
    <w:rsid w:val="000C00E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DC3AE8"/>
    <w:pPr>
      <w:ind w:left="720"/>
      <w:contextualSpacing/>
    </w:p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4C72FB"/>
    <w:pPr>
      <w:tabs>
        <w:tab w:val="center" w:pos="4680"/>
        <w:tab w:val="right" w:pos="9360"/>
      </w:tabs>
      <w:spacing w:line="240" w:lineRule="auto"/>
    </w:pPr>
  </w:style>
  <w:style w:type="character" w:customStyle="1" w:styleId="HeaderChar">
    <w:name w:val="Header Char"/>
    <w:basedOn w:val="DefaultParagraphFont"/>
    <w:link w:val="Header"/>
    <w:uiPriority w:val="99"/>
    <w:rsid w:val="004C72FB"/>
    <w:rPr>
      <w:szCs w:val="22"/>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ariashw@buffalo.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ottcov@buffalo.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du.uwo.ca/graduate-education/lead_ta/legacy_project_2014/documents/proofreading_and_editin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ottcov@buffalo.edu" TargetMode="External"/><Relationship Id="rId5" Type="http://schemas.openxmlformats.org/officeDocument/2006/relationships/webSettings" Target="webSettings.xml"/><Relationship Id="rId15" Type="http://schemas.openxmlformats.org/officeDocument/2006/relationships/hyperlink" Target="mailto:buffalohrlr@gmail.com"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dmburgio@buffa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i+b4elrTFlpGLtTPQxQBEUbypQ==">AMUW2mVKVlxdCevosGH2xtNdV275QlX/D62f8oyi4ALczDAufMWNMiuQpsv10SnRSYrD8mABoiopJ6+PiBvDxbpHfRZwmjMalwbFuy1M9qhLsCX1Jicd+sOurqY96nJw2NZRvBZszSSDi4Pwob1YG0Iorr4ZBRXHEQ==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1351</Words>
  <Characters>7701</Characters>
  <Application>Microsoft Office Word</Application>
  <DocSecurity>4</DocSecurity>
  <Lines>64</Lines>
  <Paragraphs>18</Paragraphs>
  <ScaleCrop>false</ScaleCrop>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Kaczmarek</dc:creator>
  <cp:lastModifiedBy>Amy Atkinson</cp:lastModifiedBy>
  <cp:revision>2</cp:revision>
  <dcterms:created xsi:type="dcterms:W3CDTF">2022-05-04T13:50:00Z</dcterms:created>
  <dcterms:modified xsi:type="dcterms:W3CDTF">2022-05-04T13:50:00Z</dcterms:modified>
</cp:coreProperties>
</file>