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E6DF4" w:rsidP="009D74E7" w:rsidRDefault="009D74E7" w14:paraId="6734ACB3" w14:textId="061F7BC1">
      <w:pPr>
        <w:jc w:val="center"/>
      </w:pPr>
      <w:r>
        <w:rPr>
          <w:noProof/>
        </w:rPr>
        <w:drawing>
          <wp:inline distT="0" distB="0" distL="0" distR="0" wp14:anchorId="59280C64" wp14:editId="70703D7B">
            <wp:extent cx="2835275" cy="419735"/>
            <wp:effectExtent l="0" t="0" r="3175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4E7" w:rsidP="009D74E7" w:rsidRDefault="009D74E7" w14:paraId="2D2C91D7" w14:textId="77777777"/>
    <w:p w:rsidR="009D74E7" w:rsidP="009D74E7" w:rsidRDefault="009D74E7" w14:paraId="6F977A62" w14:textId="569BB8BA">
      <w:pPr>
        <w:jc w:val="center"/>
        <w:rPr>
          <w:rFonts w:ascii="Arial" w:hAnsi="Arial" w:cs="Arial"/>
          <w:b/>
          <w:bCs/>
          <w:color w:val="215E99" w:themeColor="text2" w:themeTint="BF"/>
          <w:sz w:val="40"/>
          <w:szCs w:val="40"/>
        </w:rPr>
      </w:pPr>
      <w:r w:rsidRPr="009D74E7">
        <w:rPr>
          <w:rFonts w:ascii="Arial" w:hAnsi="Arial" w:cs="Arial"/>
          <w:b/>
          <w:bCs/>
          <w:color w:val="215E99" w:themeColor="text2" w:themeTint="BF"/>
          <w:sz w:val="40"/>
          <w:szCs w:val="40"/>
        </w:rPr>
        <w:t>SW360: Mass Incarceration and Direct Practice</w:t>
      </w:r>
    </w:p>
    <w:p w:rsidRPr="0024244D" w:rsidR="0024244D" w:rsidP="1C530683" w:rsidRDefault="0024244D" w14:paraId="439E9923" w14:textId="326C3EA4">
      <w:pPr>
        <w:jc w:val="center"/>
        <w:rPr>
          <w:rFonts w:ascii="Arial" w:hAnsi="Arial" w:cs="Arial"/>
          <w:b w:val="1"/>
          <w:bCs w:val="1"/>
          <w:i w:val="1"/>
          <w:iCs w:val="1"/>
          <w:color w:val="215E99" w:themeColor="text2" w:themeTint="BF"/>
          <w:sz w:val="28"/>
          <w:szCs w:val="28"/>
        </w:rPr>
      </w:pPr>
      <w:r w:rsidRPr="1C530683" w:rsidR="1C530683">
        <w:rPr>
          <w:rFonts w:ascii="Arial" w:hAnsi="Arial" w:cs="Arial"/>
          <w:b w:val="1"/>
          <w:bCs w:val="1"/>
          <w:i w:val="1"/>
          <w:iCs w:val="1"/>
          <w:color w:val="0E2740"/>
          <w:sz w:val="28"/>
          <w:szCs w:val="28"/>
        </w:rPr>
        <w:t>T/R 10:00-11:20 | Dr. D. Applegarth</w:t>
      </w:r>
    </w:p>
    <w:p w:rsidRPr="0024244D" w:rsidR="0024244D" w:rsidP="009D74E7" w:rsidRDefault="0024244D" w14:paraId="262D6B8C" w14:textId="677C749A">
      <w:pPr>
        <w:jc w:val="center"/>
        <w:rPr>
          <w:rFonts w:ascii="Arial" w:hAnsi="Arial" w:cs="Arial"/>
          <w:b w:val="1"/>
          <w:bCs w:val="1"/>
          <w:color w:val="215E99" w:themeColor="text2" w:themeTint="BF"/>
          <w:sz w:val="28"/>
          <w:szCs w:val="28"/>
        </w:rPr>
      </w:pPr>
      <w:r>
        <w:drawing>
          <wp:inline wp14:editId="7C7CCCA2" wp14:anchorId="0C7D7D09">
            <wp:extent cx="3495675" cy="2319246"/>
            <wp:effectExtent l="0" t="0" r="0" b="0"/>
            <wp:docPr id="19612275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bfd48fdb2b401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95675" cy="2319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4244D" w:rsidR="0024244D" w:rsidP="009D74E7" w:rsidRDefault="0024244D" w14:paraId="27FC2EF6" w14:noSpellErr="1" w14:textId="6866D55A">
      <w:pPr>
        <w:jc w:val="center"/>
      </w:pPr>
    </w:p>
    <w:p w:rsidRPr="0024244D" w:rsidR="009D74E7" w:rsidP="009D74E7" w:rsidRDefault="009D74E7" w14:paraId="0846783F" w14:textId="14919E5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4244D">
        <w:rPr>
          <w:rFonts w:ascii="Arial" w:hAnsi="Arial" w:cs="Arial"/>
          <w:color w:val="0D0D0D" w:themeColor="text1" w:themeTint="F2"/>
          <w:sz w:val="28"/>
          <w:szCs w:val="28"/>
        </w:rPr>
        <w:t xml:space="preserve">This course examines </w:t>
      </w:r>
      <w:r w:rsidRPr="0024244D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direct social work practice within and related to the criminal legal system</w:t>
      </w:r>
      <w:r w:rsidRPr="0024244D">
        <w:rPr>
          <w:rFonts w:ascii="Arial" w:hAnsi="Arial" w:cs="Arial"/>
          <w:color w:val="215E99" w:themeColor="text2" w:themeTint="BF"/>
          <w:sz w:val="28"/>
          <w:szCs w:val="28"/>
        </w:rPr>
        <w:t xml:space="preserve"> </w:t>
      </w:r>
      <w:r w:rsidRPr="0024244D">
        <w:rPr>
          <w:rFonts w:ascii="Arial" w:hAnsi="Arial" w:cs="Arial"/>
          <w:color w:val="0D0D0D" w:themeColor="text1" w:themeTint="F2"/>
          <w:sz w:val="28"/>
          <w:szCs w:val="28"/>
        </w:rPr>
        <w:t xml:space="preserve">and the role of social work and other helping professions in shaping these </w:t>
      </w:r>
      <w:r w:rsidRPr="0024244D">
        <w:rPr>
          <w:rFonts w:ascii="Arial" w:hAnsi="Arial" w:cs="Arial"/>
          <w:sz w:val="28"/>
          <w:szCs w:val="28"/>
        </w:rPr>
        <w:t>practices.</w:t>
      </w:r>
    </w:p>
    <w:p w:rsidRPr="0024244D" w:rsidR="0024244D" w:rsidP="0024244D" w:rsidRDefault="0024244D" w14:paraId="27115C87" w14:textId="77777777">
      <w:pPr>
        <w:pStyle w:val="ListParagraph"/>
        <w:rPr>
          <w:rFonts w:ascii="Arial" w:hAnsi="Arial" w:cs="Arial"/>
          <w:sz w:val="28"/>
          <w:szCs w:val="28"/>
        </w:rPr>
      </w:pPr>
    </w:p>
    <w:p w:rsidRPr="0024244D" w:rsidR="009D74E7" w:rsidP="009D74E7" w:rsidRDefault="009D74E7" w14:paraId="5C9278F4" w14:textId="2CACDB3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215E99" w:themeColor="text2" w:themeTint="BF"/>
          <w:sz w:val="28"/>
          <w:szCs w:val="28"/>
        </w:rPr>
      </w:pPr>
      <w:r w:rsidRPr="0024244D">
        <w:rPr>
          <w:rFonts w:ascii="Arial" w:hAnsi="Arial" w:cs="Arial"/>
          <w:sz w:val="28"/>
          <w:szCs w:val="28"/>
        </w:rPr>
        <w:t xml:space="preserve">It </w:t>
      </w:r>
      <w:r w:rsidRPr="0024244D">
        <w:rPr>
          <w:rFonts w:ascii="Arial" w:hAnsi="Arial" w:cs="Arial"/>
          <w:color w:val="0D0D0D" w:themeColor="text1" w:themeTint="F2"/>
          <w:sz w:val="28"/>
          <w:szCs w:val="28"/>
        </w:rPr>
        <w:t xml:space="preserve">focuses on prevention and intervention strategies that address the </w:t>
      </w:r>
      <w:r w:rsidRPr="0024244D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high incarceration and reincarceration of people with mental health challenges, the over-representation of people of color in carceral settings, and supportive services that facilitate community reintegration following incarceration.</w:t>
      </w:r>
    </w:p>
    <w:p w:rsidRPr="0024244D" w:rsidR="0024244D" w:rsidP="0024244D" w:rsidRDefault="0024244D" w14:paraId="7C2EE405" w14:textId="77777777">
      <w:pPr>
        <w:pStyle w:val="ListParagrap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</w:p>
    <w:p w:rsidRPr="0024244D" w:rsidR="009D74E7" w:rsidP="009D74E7" w:rsidRDefault="009D74E7" w14:paraId="4A1C180E" w14:textId="6017629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24244D">
        <w:rPr>
          <w:rFonts w:ascii="Arial" w:hAnsi="Arial" w:cs="Arial"/>
          <w:sz w:val="28"/>
          <w:szCs w:val="28"/>
        </w:rPr>
        <w:t>This course will provide students with a foundational knowledge of effective interventions at various points across the criminal system. Key developments and innovations in practice will be highlighted – such as</w:t>
      </w:r>
      <w:r w:rsidRPr="0024244D">
        <w:rPr>
          <w:rFonts w:ascii="Arial" w:hAnsi="Arial" w:cs="Arial"/>
          <w:b/>
          <w:bCs/>
          <w:sz w:val="28"/>
          <w:szCs w:val="28"/>
        </w:rPr>
        <w:t xml:space="preserve"> </w:t>
      </w:r>
      <w:r w:rsidRPr="0024244D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 xml:space="preserve">trauma-informed, human-rights-informed, and gender-responsive approaches. </w:t>
      </w:r>
    </w:p>
    <w:sectPr w:rsidRPr="0024244D" w:rsidR="009D74E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F7AF7"/>
    <w:multiLevelType w:val="hybridMultilevel"/>
    <w:tmpl w:val="9F9A7C88"/>
    <w:lvl w:ilvl="0" w:tplc="F59863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66358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E7"/>
    <w:rsid w:val="0024244D"/>
    <w:rsid w:val="002E6DF4"/>
    <w:rsid w:val="004C3BCF"/>
    <w:rsid w:val="009D74E7"/>
    <w:rsid w:val="00C955B2"/>
    <w:rsid w:val="1C530683"/>
    <w:rsid w:val="1F7C292F"/>
    <w:rsid w:val="364260E0"/>
    <w:rsid w:val="690F3DDF"/>
    <w:rsid w:val="706B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A4369"/>
  <w15:chartTrackingRefBased/>
  <w15:docId w15:val="{013AE10D-8B10-4287-A310-69E37C0A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4E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4E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4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4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74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74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74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74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4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D74E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D74E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D74E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D74E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D74E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D74E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D74E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D74E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D74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74E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D74E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74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D74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74E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D74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74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74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4E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D74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74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image" Target="/media/image3.png" Id="R63bfd48fdb2b40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Marrano, Iris</dc:creator>
  <keywords/>
  <dc:description/>
  <lastModifiedBy>Iris Marrano</lastModifiedBy>
  <revision>6</revision>
  <dcterms:created xsi:type="dcterms:W3CDTF">2025-03-04T14:40:00.0000000Z</dcterms:created>
  <dcterms:modified xsi:type="dcterms:W3CDTF">2025-03-12T16:39:39.9474212Z</dcterms:modified>
</coreProperties>
</file>